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C5071" w14:textId="78F9B178"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352F60">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E24FDC" w:rsidRDefault="001F6F1B" w:rsidP="001F6F1B">
                            <w:pPr>
                              <w:rPr>
                                <w:rFonts w:eastAsia="Calibri" w:cs="Times New Roman"/>
                                <w:color w:val="FFFFFF" w:themeColor="background1"/>
                                <w:sz w:val="24"/>
                                <w:szCs w:val="24"/>
                              </w:rPr>
                            </w:pPr>
                          </w:p>
                          <w:p w14:paraId="060D39C7" w14:textId="2AE56270" w:rsidR="001F6F1B" w:rsidRPr="00E24FDC" w:rsidRDefault="00AF039E" w:rsidP="00AF039E">
                            <w:pPr>
                              <w:rPr>
                                <w:rFonts w:ascii="Arial Black" w:eastAsia="Calibri" w:hAnsi="Arial Black" w:cs="Times New Roman"/>
                                <w:color w:val="FFFFFF" w:themeColor="background1"/>
                                <w:sz w:val="24"/>
                                <w:szCs w:val="24"/>
                              </w:rPr>
                            </w:pPr>
                            <w:r w:rsidRPr="00E24FDC">
                              <w:rPr>
                                <w:rFonts w:ascii="Arial Black" w:eastAsia="Calibri" w:hAnsi="Arial Black" w:cs="Times New Roman"/>
                                <w:color w:val="FFFFFF" w:themeColor="background1"/>
                                <w:sz w:val="24"/>
                                <w:szCs w:val="24"/>
                              </w:rPr>
                              <w:t xml:space="preserve">WFE Response: </w:t>
                            </w:r>
                            <w:r w:rsidR="00FC2EA3" w:rsidRPr="00E24FDC">
                              <w:rPr>
                                <w:rFonts w:ascii="Arial Black" w:eastAsia="Calibri" w:hAnsi="Arial Black" w:cs="Times New Roman"/>
                                <w:color w:val="FFFFFF" w:themeColor="background1"/>
                                <w:sz w:val="24"/>
                                <w:szCs w:val="24"/>
                              </w:rPr>
                              <w:t xml:space="preserve">BCBS-CPMI-IOSCO Review &amp; Policy Proposals on the </w:t>
                            </w:r>
                            <w:r w:rsidRPr="00E24FDC">
                              <w:rPr>
                                <w:rFonts w:ascii="Arial Black" w:eastAsia="Calibri" w:hAnsi="Arial Black" w:cs="Times New Roman"/>
                                <w:color w:val="FFFFFF" w:themeColor="background1"/>
                                <w:sz w:val="24"/>
                                <w:szCs w:val="24"/>
                              </w:rPr>
                              <w:t xml:space="preserve">Transparency </w:t>
                            </w:r>
                            <w:r w:rsidR="00FC2EA3" w:rsidRPr="00E24FDC">
                              <w:rPr>
                                <w:rFonts w:ascii="Arial Black" w:eastAsia="Calibri" w:hAnsi="Arial Black" w:cs="Times New Roman"/>
                                <w:color w:val="FFFFFF" w:themeColor="background1"/>
                                <w:sz w:val="24"/>
                                <w:szCs w:val="24"/>
                              </w:rPr>
                              <w:t>and R</w:t>
                            </w:r>
                            <w:r w:rsidRPr="00E24FDC">
                              <w:rPr>
                                <w:rFonts w:ascii="Arial Black" w:eastAsia="Calibri" w:hAnsi="Arial Black" w:cs="Times New Roman"/>
                                <w:color w:val="FFFFFF" w:themeColor="background1"/>
                                <w:sz w:val="24"/>
                                <w:szCs w:val="24"/>
                              </w:rPr>
                              <w:t xml:space="preserve">esponsiveness of </w:t>
                            </w:r>
                            <w:r w:rsidR="00FC2EA3" w:rsidRPr="00E24FDC">
                              <w:rPr>
                                <w:rFonts w:ascii="Arial Black" w:eastAsia="Calibri" w:hAnsi="Arial Black" w:cs="Times New Roman"/>
                                <w:color w:val="FFFFFF" w:themeColor="background1"/>
                                <w:sz w:val="24"/>
                                <w:szCs w:val="24"/>
                              </w:rPr>
                              <w:t>I</w:t>
                            </w:r>
                            <w:r w:rsidRPr="00E24FDC">
                              <w:rPr>
                                <w:rFonts w:ascii="Arial Black" w:eastAsia="Calibri" w:hAnsi="Arial Black" w:cs="Times New Roman"/>
                                <w:color w:val="FFFFFF" w:themeColor="background1"/>
                                <w:sz w:val="24"/>
                                <w:szCs w:val="24"/>
                              </w:rPr>
                              <w:t xml:space="preserve">nitial </w:t>
                            </w:r>
                            <w:r w:rsidR="00FC2EA3" w:rsidRPr="00E24FDC">
                              <w:rPr>
                                <w:rFonts w:ascii="Arial Black" w:eastAsia="Calibri" w:hAnsi="Arial Black" w:cs="Times New Roman"/>
                                <w:color w:val="FFFFFF" w:themeColor="background1"/>
                                <w:sz w:val="24"/>
                                <w:szCs w:val="24"/>
                              </w:rPr>
                              <w:t>M</w:t>
                            </w:r>
                            <w:r w:rsidRPr="00E24FDC">
                              <w:rPr>
                                <w:rFonts w:ascii="Arial Black" w:eastAsia="Calibri" w:hAnsi="Arial Black" w:cs="Times New Roman"/>
                                <w:color w:val="FFFFFF" w:themeColor="background1"/>
                                <w:sz w:val="24"/>
                                <w:szCs w:val="24"/>
                              </w:rPr>
                              <w:t xml:space="preserve">argin in </w:t>
                            </w:r>
                            <w:r w:rsidR="00FC2EA3" w:rsidRPr="00E24FDC">
                              <w:rPr>
                                <w:rFonts w:ascii="Arial Black" w:eastAsia="Calibri" w:hAnsi="Arial Black" w:cs="Times New Roman"/>
                                <w:color w:val="FFFFFF" w:themeColor="background1"/>
                                <w:sz w:val="24"/>
                                <w:szCs w:val="24"/>
                              </w:rPr>
                              <w:t>C</w:t>
                            </w:r>
                            <w:r w:rsidRPr="00E24FDC">
                              <w:rPr>
                                <w:rFonts w:ascii="Arial Black" w:eastAsia="Calibri" w:hAnsi="Arial Black" w:cs="Times New Roman"/>
                                <w:color w:val="FFFFFF" w:themeColor="background1"/>
                                <w:sz w:val="24"/>
                                <w:szCs w:val="24"/>
                              </w:rPr>
                              <w:t xml:space="preserve">entrally </w:t>
                            </w:r>
                            <w:r w:rsidR="00FC2EA3" w:rsidRPr="00E24FDC">
                              <w:rPr>
                                <w:rFonts w:ascii="Arial Black" w:eastAsia="Calibri" w:hAnsi="Arial Black" w:cs="Times New Roman"/>
                                <w:color w:val="FFFFFF" w:themeColor="background1"/>
                                <w:sz w:val="24"/>
                                <w:szCs w:val="24"/>
                              </w:rPr>
                              <w:t>C</w:t>
                            </w:r>
                            <w:r w:rsidRPr="00E24FDC">
                              <w:rPr>
                                <w:rFonts w:ascii="Arial Black" w:eastAsia="Calibri" w:hAnsi="Arial Black" w:cs="Times New Roman"/>
                                <w:color w:val="FFFFFF" w:themeColor="background1"/>
                                <w:sz w:val="24"/>
                                <w:szCs w:val="24"/>
                              </w:rPr>
                              <w:t>leared</w:t>
                            </w:r>
                            <w:r w:rsidR="00FC2EA3" w:rsidRPr="00E24FDC">
                              <w:rPr>
                                <w:rFonts w:ascii="Arial Black" w:eastAsia="Calibri" w:hAnsi="Arial Black" w:cs="Times New Roman"/>
                                <w:color w:val="FFFFFF" w:themeColor="background1"/>
                                <w:sz w:val="24"/>
                                <w:szCs w:val="24"/>
                              </w:rPr>
                              <w:t xml:space="preserve"> M</w:t>
                            </w:r>
                            <w:r w:rsidRPr="00E24FDC">
                              <w:rPr>
                                <w:rFonts w:ascii="Arial Black" w:eastAsia="Calibri" w:hAnsi="Arial Black" w:cs="Times New Roman"/>
                                <w:color w:val="FFFFFF" w:themeColor="background1"/>
                                <w:sz w:val="24"/>
                                <w:szCs w:val="24"/>
                              </w:rPr>
                              <w:t>arkets</w:t>
                            </w:r>
                            <w:r w:rsidR="00DF2AAF">
                              <w:rPr>
                                <w:rFonts w:ascii="Arial Black" w:eastAsia="Calibri" w:hAnsi="Arial Black" w:cs="Times New Roman"/>
                                <w:color w:val="FFFFFF" w:themeColor="background1"/>
                                <w:sz w:val="24"/>
                                <w:szCs w:val="24"/>
                              </w:rPr>
                              <w:br/>
                            </w:r>
                            <w:r w:rsidR="00E24FDC">
                              <w:rPr>
                                <w:rFonts w:ascii="Arial Black" w:eastAsia="Calibri" w:hAnsi="Arial Black" w:cs="Times New Roman"/>
                                <w:color w:val="FFFFFF" w:themeColor="background1"/>
                                <w:sz w:val="24"/>
                                <w:szCs w:val="24"/>
                              </w:rPr>
                              <w:t>16 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E24FDC" w:rsidRDefault="001F6F1B" w:rsidP="001F6F1B">
                      <w:pPr>
                        <w:rPr>
                          <w:rFonts w:eastAsia="Calibri" w:cs="Times New Roman"/>
                          <w:color w:val="FFFFFF" w:themeColor="background1"/>
                          <w:sz w:val="24"/>
                          <w:szCs w:val="24"/>
                        </w:rPr>
                      </w:pPr>
                    </w:p>
                    <w:p w14:paraId="060D39C7" w14:textId="2AE56270" w:rsidR="001F6F1B" w:rsidRPr="00E24FDC" w:rsidRDefault="00AF039E" w:rsidP="00AF039E">
                      <w:pPr>
                        <w:rPr>
                          <w:rFonts w:ascii="Arial Black" w:eastAsia="Calibri" w:hAnsi="Arial Black" w:cs="Times New Roman"/>
                          <w:color w:val="FFFFFF" w:themeColor="background1"/>
                          <w:sz w:val="24"/>
                          <w:szCs w:val="24"/>
                        </w:rPr>
                      </w:pPr>
                      <w:r w:rsidRPr="00E24FDC">
                        <w:rPr>
                          <w:rFonts w:ascii="Arial Black" w:eastAsia="Calibri" w:hAnsi="Arial Black" w:cs="Times New Roman"/>
                          <w:color w:val="FFFFFF" w:themeColor="background1"/>
                          <w:sz w:val="24"/>
                          <w:szCs w:val="24"/>
                        </w:rPr>
                        <w:t xml:space="preserve">WFE Response: </w:t>
                      </w:r>
                      <w:r w:rsidR="00FC2EA3" w:rsidRPr="00E24FDC">
                        <w:rPr>
                          <w:rFonts w:ascii="Arial Black" w:eastAsia="Calibri" w:hAnsi="Arial Black" w:cs="Times New Roman"/>
                          <w:color w:val="FFFFFF" w:themeColor="background1"/>
                          <w:sz w:val="24"/>
                          <w:szCs w:val="24"/>
                        </w:rPr>
                        <w:t xml:space="preserve">BCBS-CPMI-IOSCO Review &amp; Policy Proposals on the </w:t>
                      </w:r>
                      <w:r w:rsidRPr="00E24FDC">
                        <w:rPr>
                          <w:rFonts w:ascii="Arial Black" w:eastAsia="Calibri" w:hAnsi="Arial Black" w:cs="Times New Roman"/>
                          <w:color w:val="FFFFFF" w:themeColor="background1"/>
                          <w:sz w:val="24"/>
                          <w:szCs w:val="24"/>
                        </w:rPr>
                        <w:t xml:space="preserve">Transparency </w:t>
                      </w:r>
                      <w:r w:rsidR="00FC2EA3" w:rsidRPr="00E24FDC">
                        <w:rPr>
                          <w:rFonts w:ascii="Arial Black" w:eastAsia="Calibri" w:hAnsi="Arial Black" w:cs="Times New Roman"/>
                          <w:color w:val="FFFFFF" w:themeColor="background1"/>
                          <w:sz w:val="24"/>
                          <w:szCs w:val="24"/>
                        </w:rPr>
                        <w:t>and R</w:t>
                      </w:r>
                      <w:r w:rsidRPr="00E24FDC">
                        <w:rPr>
                          <w:rFonts w:ascii="Arial Black" w:eastAsia="Calibri" w:hAnsi="Arial Black" w:cs="Times New Roman"/>
                          <w:color w:val="FFFFFF" w:themeColor="background1"/>
                          <w:sz w:val="24"/>
                          <w:szCs w:val="24"/>
                        </w:rPr>
                        <w:t xml:space="preserve">esponsiveness of </w:t>
                      </w:r>
                      <w:r w:rsidR="00FC2EA3" w:rsidRPr="00E24FDC">
                        <w:rPr>
                          <w:rFonts w:ascii="Arial Black" w:eastAsia="Calibri" w:hAnsi="Arial Black" w:cs="Times New Roman"/>
                          <w:color w:val="FFFFFF" w:themeColor="background1"/>
                          <w:sz w:val="24"/>
                          <w:szCs w:val="24"/>
                        </w:rPr>
                        <w:t>I</w:t>
                      </w:r>
                      <w:r w:rsidRPr="00E24FDC">
                        <w:rPr>
                          <w:rFonts w:ascii="Arial Black" w:eastAsia="Calibri" w:hAnsi="Arial Black" w:cs="Times New Roman"/>
                          <w:color w:val="FFFFFF" w:themeColor="background1"/>
                          <w:sz w:val="24"/>
                          <w:szCs w:val="24"/>
                        </w:rPr>
                        <w:t xml:space="preserve">nitial </w:t>
                      </w:r>
                      <w:r w:rsidR="00FC2EA3" w:rsidRPr="00E24FDC">
                        <w:rPr>
                          <w:rFonts w:ascii="Arial Black" w:eastAsia="Calibri" w:hAnsi="Arial Black" w:cs="Times New Roman"/>
                          <w:color w:val="FFFFFF" w:themeColor="background1"/>
                          <w:sz w:val="24"/>
                          <w:szCs w:val="24"/>
                        </w:rPr>
                        <w:t>M</w:t>
                      </w:r>
                      <w:r w:rsidRPr="00E24FDC">
                        <w:rPr>
                          <w:rFonts w:ascii="Arial Black" w:eastAsia="Calibri" w:hAnsi="Arial Black" w:cs="Times New Roman"/>
                          <w:color w:val="FFFFFF" w:themeColor="background1"/>
                          <w:sz w:val="24"/>
                          <w:szCs w:val="24"/>
                        </w:rPr>
                        <w:t xml:space="preserve">argin in </w:t>
                      </w:r>
                      <w:r w:rsidR="00FC2EA3" w:rsidRPr="00E24FDC">
                        <w:rPr>
                          <w:rFonts w:ascii="Arial Black" w:eastAsia="Calibri" w:hAnsi="Arial Black" w:cs="Times New Roman"/>
                          <w:color w:val="FFFFFF" w:themeColor="background1"/>
                          <w:sz w:val="24"/>
                          <w:szCs w:val="24"/>
                        </w:rPr>
                        <w:t>C</w:t>
                      </w:r>
                      <w:r w:rsidRPr="00E24FDC">
                        <w:rPr>
                          <w:rFonts w:ascii="Arial Black" w:eastAsia="Calibri" w:hAnsi="Arial Black" w:cs="Times New Roman"/>
                          <w:color w:val="FFFFFF" w:themeColor="background1"/>
                          <w:sz w:val="24"/>
                          <w:szCs w:val="24"/>
                        </w:rPr>
                        <w:t xml:space="preserve">entrally </w:t>
                      </w:r>
                      <w:r w:rsidR="00FC2EA3" w:rsidRPr="00E24FDC">
                        <w:rPr>
                          <w:rFonts w:ascii="Arial Black" w:eastAsia="Calibri" w:hAnsi="Arial Black" w:cs="Times New Roman"/>
                          <w:color w:val="FFFFFF" w:themeColor="background1"/>
                          <w:sz w:val="24"/>
                          <w:szCs w:val="24"/>
                        </w:rPr>
                        <w:t>C</w:t>
                      </w:r>
                      <w:r w:rsidRPr="00E24FDC">
                        <w:rPr>
                          <w:rFonts w:ascii="Arial Black" w:eastAsia="Calibri" w:hAnsi="Arial Black" w:cs="Times New Roman"/>
                          <w:color w:val="FFFFFF" w:themeColor="background1"/>
                          <w:sz w:val="24"/>
                          <w:szCs w:val="24"/>
                        </w:rPr>
                        <w:t>leared</w:t>
                      </w:r>
                      <w:r w:rsidR="00FC2EA3" w:rsidRPr="00E24FDC">
                        <w:rPr>
                          <w:rFonts w:ascii="Arial Black" w:eastAsia="Calibri" w:hAnsi="Arial Black" w:cs="Times New Roman"/>
                          <w:color w:val="FFFFFF" w:themeColor="background1"/>
                          <w:sz w:val="24"/>
                          <w:szCs w:val="24"/>
                        </w:rPr>
                        <w:t xml:space="preserve"> M</w:t>
                      </w:r>
                      <w:r w:rsidRPr="00E24FDC">
                        <w:rPr>
                          <w:rFonts w:ascii="Arial Black" w:eastAsia="Calibri" w:hAnsi="Arial Black" w:cs="Times New Roman"/>
                          <w:color w:val="FFFFFF" w:themeColor="background1"/>
                          <w:sz w:val="24"/>
                          <w:szCs w:val="24"/>
                        </w:rPr>
                        <w:t>arkets</w:t>
                      </w:r>
                      <w:r w:rsidR="00DF2AAF">
                        <w:rPr>
                          <w:rFonts w:ascii="Arial Black" w:eastAsia="Calibri" w:hAnsi="Arial Black" w:cs="Times New Roman"/>
                          <w:color w:val="FFFFFF" w:themeColor="background1"/>
                          <w:sz w:val="24"/>
                          <w:szCs w:val="24"/>
                        </w:rPr>
                        <w:br/>
                      </w:r>
                      <w:r w:rsidR="00E24FDC">
                        <w:rPr>
                          <w:rFonts w:ascii="Arial Black" w:eastAsia="Calibri" w:hAnsi="Arial Black" w:cs="Times New Roman"/>
                          <w:color w:val="FFFFFF" w:themeColor="background1"/>
                          <w:sz w:val="24"/>
                          <w:szCs w:val="24"/>
                        </w:rPr>
                        <w:t>16 April 2024</w:t>
                      </w:r>
                    </w:p>
                  </w:txbxContent>
                </v:textbox>
                <w10:wrap anchorx="margin"/>
              </v:shape>
            </w:pict>
          </mc:Fallback>
        </mc:AlternateContent>
      </w:r>
      <w:r w:rsidR="00946374">
        <w:rPr>
          <w:b/>
          <w:bCs/>
          <w:sz w:val="32"/>
          <w:szCs w:val="32"/>
          <w:u w:val="single"/>
        </w:rPr>
        <w:br w:type="page"/>
      </w:r>
    </w:p>
    <w:p w14:paraId="23DB8282" w14:textId="084ACB74" w:rsidR="00D6727C" w:rsidRDefault="00D6727C" w:rsidP="00D6727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Background</w:t>
      </w:r>
    </w:p>
    <w:p w14:paraId="5A4AB780" w14:textId="77777777" w:rsidR="00811247" w:rsidRPr="00285DBF" w:rsidRDefault="00811247" w:rsidP="003167DB">
      <w:pPr>
        <w:rPr>
          <w:rFonts w:ascii="Segoe UI" w:eastAsia="Times New Roman" w:hAnsi="Segoe UI" w:cs="Segoe UI"/>
          <w:sz w:val="18"/>
          <w:szCs w:val="18"/>
        </w:rPr>
      </w:pPr>
    </w:p>
    <w:p w14:paraId="472E1F86" w14:textId="6167A173" w:rsidR="00C0748C"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 xml:space="preserve">Established in 1961, the </w:t>
      </w:r>
      <w:r w:rsidR="002061C7" w:rsidRPr="00285DBF">
        <w:rPr>
          <w:rFonts w:ascii="Segoe UI" w:eastAsia="Times New Roman" w:hAnsi="Segoe UI" w:cs="Segoe UI"/>
          <w:sz w:val="18"/>
          <w:szCs w:val="18"/>
        </w:rPr>
        <w:t xml:space="preserve">World Federation of Exchanges (WFE) </w:t>
      </w:r>
      <w:r w:rsidRPr="00285DBF">
        <w:rPr>
          <w:rFonts w:ascii="Segoe UI" w:eastAsia="Times New Roman" w:hAnsi="Segoe UI" w:cs="Segoe UI"/>
          <w:sz w:val="18"/>
          <w:szCs w:val="18"/>
        </w:rPr>
        <w:t>is the global industry association for exchanges and clearing houses</w:t>
      </w:r>
      <w:r w:rsidR="00D73A21" w:rsidRPr="00285DBF">
        <w:rPr>
          <w:rFonts w:ascii="Segoe UI" w:eastAsia="Times New Roman" w:hAnsi="Segoe UI" w:cs="Segoe UI"/>
          <w:sz w:val="18"/>
          <w:szCs w:val="18"/>
        </w:rPr>
        <w:t xml:space="preserve"> (CCPs)</w:t>
      </w:r>
      <w:r w:rsidRPr="00285DBF">
        <w:rPr>
          <w:rFonts w:ascii="Segoe UI" w:eastAsia="Times New Roman" w:hAnsi="Segoe UI" w:cs="Segoe UI"/>
          <w:sz w:val="18"/>
          <w:szCs w:val="18"/>
        </w:rPr>
        <w:t>. Headquartered in London, it represents over 250 market infrastructure providers, including standalone CCPs that are not part of exchange groups. Of our members, 3</w:t>
      </w:r>
      <w:r w:rsidR="005E4C7E">
        <w:rPr>
          <w:rFonts w:ascii="Segoe UI" w:eastAsia="Times New Roman" w:hAnsi="Segoe UI" w:cs="Segoe UI"/>
          <w:sz w:val="18"/>
          <w:szCs w:val="18"/>
        </w:rPr>
        <w:t>6</w:t>
      </w:r>
      <w:r w:rsidRPr="00285DBF">
        <w:rPr>
          <w:rFonts w:ascii="Segoe UI" w:eastAsia="Times New Roman" w:hAnsi="Segoe UI" w:cs="Segoe UI"/>
          <w:sz w:val="18"/>
          <w:szCs w:val="18"/>
        </w:rPr>
        <w:t>% are in Asia-Pacific, 4</w:t>
      </w:r>
      <w:r w:rsidR="005E4C7E">
        <w:rPr>
          <w:rFonts w:ascii="Segoe UI" w:eastAsia="Times New Roman" w:hAnsi="Segoe UI" w:cs="Segoe UI"/>
          <w:sz w:val="18"/>
          <w:szCs w:val="18"/>
        </w:rPr>
        <w:t>3</w:t>
      </w:r>
      <w:r w:rsidRPr="00285DBF">
        <w:rPr>
          <w:rFonts w:ascii="Segoe UI" w:eastAsia="Times New Roman" w:hAnsi="Segoe UI" w:cs="Segoe UI"/>
          <w:sz w:val="18"/>
          <w:szCs w:val="18"/>
        </w:rPr>
        <w:t>% in EMEA</w:t>
      </w:r>
      <w:r w:rsidR="00694857" w:rsidRPr="00285DBF">
        <w:rPr>
          <w:rFonts w:ascii="Segoe UI" w:eastAsia="Times New Roman" w:hAnsi="Segoe UI" w:cs="Segoe UI"/>
          <w:sz w:val="18"/>
          <w:szCs w:val="18"/>
        </w:rPr>
        <w:t>,</w:t>
      </w:r>
      <w:r w:rsidRPr="00285DBF">
        <w:rPr>
          <w:rFonts w:ascii="Segoe UI" w:eastAsia="Times New Roman" w:hAnsi="Segoe UI" w:cs="Segoe UI"/>
          <w:sz w:val="18"/>
          <w:szCs w:val="18"/>
        </w:rPr>
        <w:t xml:space="preserve"> and 21% in the Americas. </w:t>
      </w:r>
    </w:p>
    <w:p w14:paraId="6C142679" w14:textId="77777777" w:rsidR="00C0748C" w:rsidRPr="00285DBF" w:rsidRDefault="00C0748C" w:rsidP="00C425BA">
      <w:pPr>
        <w:rPr>
          <w:rFonts w:ascii="Segoe UI" w:eastAsia="Times New Roman" w:hAnsi="Segoe UI" w:cs="Segoe UI"/>
          <w:sz w:val="18"/>
          <w:szCs w:val="18"/>
        </w:rPr>
      </w:pPr>
    </w:p>
    <w:p w14:paraId="6CB2F354" w14:textId="2F96A608" w:rsidR="005E4C7E"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 xml:space="preserve">WFE’s </w:t>
      </w:r>
      <w:r w:rsidR="005E4C7E">
        <w:rPr>
          <w:rFonts w:ascii="Segoe UI" w:eastAsia="Times New Roman" w:hAnsi="Segoe UI" w:cs="Segoe UI"/>
          <w:sz w:val="18"/>
          <w:szCs w:val="18"/>
        </w:rPr>
        <w:t>87</w:t>
      </w:r>
      <w:r w:rsidRPr="00285DBF">
        <w:rPr>
          <w:rFonts w:ascii="Segoe UI" w:eastAsia="Times New Roman" w:hAnsi="Segoe UI" w:cs="Segoe UI"/>
          <w:sz w:val="18"/>
          <w:szCs w:val="18"/>
        </w:rPr>
        <w:t xml:space="preserve"> member CCPs and clearing services collectively ensure that risk takers post some $1.3 trillion (equivalent) of resources to back their positions, in the form of initial margin and default fund requirements. </w:t>
      </w:r>
      <w:r w:rsidR="00460E9D">
        <w:rPr>
          <w:rFonts w:ascii="Segoe UI" w:eastAsia="Times New Roman" w:hAnsi="Segoe UI" w:cs="Segoe UI"/>
          <w:sz w:val="18"/>
          <w:szCs w:val="18"/>
        </w:rPr>
        <w:t>The exchanges covered by WFE data</w:t>
      </w:r>
      <w:r w:rsidRPr="00285DBF">
        <w:rPr>
          <w:rFonts w:ascii="Segoe UI" w:eastAsia="Times New Roman" w:hAnsi="Segoe UI" w:cs="Segoe UI"/>
          <w:sz w:val="18"/>
          <w:szCs w:val="18"/>
        </w:rPr>
        <w:t xml:space="preserve"> are home to over 5</w:t>
      </w:r>
      <w:r w:rsidR="00460E9D">
        <w:rPr>
          <w:rFonts w:ascii="Segoe UI" w:eastAsia="Times New Roman" w:hAnsi="Segoe UI" w:cs="Segoe UI"/>
          <w:sz w:val="18"/>
          <w:szCs w:val="18"/>
        </w:rPr>
        <w:t>5</w:t>
      </w:r>
      <w:r w:rsidRPr="00285DBF">
        <w:rPr>
          <w:rFonts w:ascii="Segoe UI" w:eastAsia="Times New Roman" w:hAnsi="Segoe UI" w:cs="Segoe UI"/>
          <w:sz w:val="18"/>
          <w:szCs w:val="18"/>
        </w:rPr>
        <w:t>,000 listed companies, and the market capitalisation of these entities is over $1</w:t>
      </w:r>
      <w:r w:rsidR="003B0248">
        <w:rPr>
          <w:rFonts w:ascii="Segoe UI" w:eastAsia="Times New Roman" w:hAnsi="Segoe UI" w:cs="Segoe UI"/>
          <w:sz w:val="18"/>
          <w:szCs w:val="18"/>
        </w:rPr>
        <w:t>11</w:t>
      </w:r>
      <w:r w:rsidRPr="00285DBF">
        <w:rPr>
          <w:rFonts w:ascii="Segoe UI" w:eastAsia="Times New Roman" w:hAnsi="Segoe UI" w:cs="Segoe UI"/>
          <w:sz w:val="18"/>
          <w:szCs w:val="18"/>
        </w:rPr>
        <w:t xml:space="preserve"> trillion; around $1</w:t>
      </w:r>
      <w:r w:rsidR="003B0248">
        <w:rPr>
          <w:rFonts w:ascii="Segoe UI" w:eastAsia="Times New Roman" w:hAnsi="Segoe UI" w:cs="Segoe UI"/>
          <w:sz w:val="18"/>
          <w:szCs w:val="18"/>
        </w:rPr>
        <w:t>24</w:t>
      </w:r>
      <w:r w:rsidRPr="00285DBF">
        <w:rPr>
          <w:rFonts w:ascii="Segoe UI" w:eastAsia="Times New Roman" w:hAnsi="Segoe UI" w:cs="Segoe UI"/>
          <w:sz w:val="18"/>
          <w:szCs w:val="18"/>
        </w:rPr>
        <w:t xml:space="preserve"> trillion (EOB) in trading annually passes through WFE members (at end 202</w:t>
      </w:r>
      <w:r w:rsidR="003B0248">
        <w:rPr>
          <w:rFonts w:ascii="Segoe UI" w:eastAsia="Times New Roman" w:hAnsi="Segoe UI" w:cs="Segoe UI"/>
          <w:sz w:val="18"/>
          <w:szCs w:val="18"/>
        </w:rPr>
        <w:t>3</w:t>
      </w:r>
      <w:r w:rsidRPr="00285DBF">
        <w:rPr>
          <w:rFonts w:ascii="Segoe UI" w:eastAsia="Times New Roman" w:hAnsi="Segoe UI" w:cs="Segoe UI"/>
          <w:sz w:val="18"/>
          <w:szCs w:val="18"/>
        </w:rPr>
        <w:t>).</w:t>
      </w:r>
    </w:p>
    <w:p w14:paraId="217D7F75" w14:textId="77777777" w:rsidR="00C425BA" w:rsidRPr="00285DBF" w:rsidRDefault="00C425BA" w:rsidP="00C425BA">
      <w:pPr>
        <w:rPr>
          <w:rFonts w:ascii="Segoe UI" w:eastAsia="Times New Roman" w:hAnsi="Segoe UI" w:cs="Segoe UI"/>
          <w:sz w:val="18"/>
          <w:szCs w:val="18"/>
        </w:rPr>
      </w:pPr>
    </w:p>
    <w:p w14:paraId="6AEBAB4D" w14:textId="1EEE71C0" w:rsidR="00C425BA"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 xml:space="preserve">The WFE is the definitive source for exchange-traded </w:t>
      </w:r>
      <w:proofErr w:type="gramStart"/>
      <w:r w:rsidRPr="00285DBF">
        <w:rPr>
          <w:rFonts w:ascii="Segoe UI" w:eastAsia="Times New Roman" w:hAnsi="Segoe UI" w:cs="Segoe UI"/>
          <w:sz w:val="18"/>
          <w:szCs w:val="18"/>
        </w:rPr>
        <w:t>statistics</w:t>
      </w:r>
      <w:r w:rsidR="002929B5" w:rsidRPr="00285DBF">
        <w:rPr>
          <w:rFonts w:ascii="Segoe UI" w:eastAsia="Times New Roman" w:hAnsi="Segoe UI" w:cs="Segoe UI"/>
          <w:sz w:val="18"/>
          <w:szCs w:val="18"/>
        </w:rPr>
        <w:t>,</w:t>
      </w:r>
      <w:r w:rsidRPr="00285DBF">
        <w:rPr>
          <w:rFonts w:ascii="Segoe UI" w:eastAsia="Times New Roman" w:hAnsi="Segoe UI" w:cs="Segoe UI"/>
          <w:sz w:val="18"/>
          <w:szCs w:val="18"/>
        </w:rPr>
        <w:t xml:space="preserve"> and</w:t>
      </w:r>
      <w:proofErr w:type="gramEnd"/>
      <w:r w:rsidRPr="00285DBF">
        <w:rPr>
          <w:rFonts w:ascii="Segoe UI" w:eastAsia="Times New Roman" w:hAnsi="Segoe UI" w:cs="Segoe UI"/>
          <w:sz w:val="18"/>
          <w:szCs w:val="18"/>
        </w:rPr>
        <w:t xml:space="preserve"> publishes over 350 market data indicators. Its free statistics database stretches back more than 40 years and provides information and insight into developments on global exchanges. The WFE works with standard-setters, policy makers, regulators</w:t>
      </w:r>
      <w:r w:rsidR="002929B5" w:rsidRPr="00285DBF">
        <w:rPr>
          <w:rFonts w:ascii="Segoe UI" w:eastAsia="Times New Roman" w:hAnsi="Segoe UI" w:cs="Segoe UI"/>
          <w:sz w:val="18"/>
          <w:szCs w:val="18"/>
        </w:rPr>
        <w:t>,</w:t>
      </w:r>
      <w:r w:rsidRPr="00285DBF">
        <w:rPr>
          <w:rFonts w:ascii="Segoe UI" w:eastAsia="Times New Roman" w:hAnsi="Segoe UI" w:cs="Segoe UI"/>
          <w:sz w:val="18"/>
          <w:szCs w:val="18"/>
        </w:rPr>
        <w:t xml:space="preserve"> and government organisations around the world to support and promote the development of fair, transparent, </w:t>
      </w:r>
      <w:proofErr w:type="gramStart"/>
      <w:r w:rsidRPr="00285DBF">
        <w:rPr>
          <w:rFonts w:ascii="Segoe UI" w:eastAsia="Times New Roman" w:hAnsi="Segoe UI" w:cs="Segoe UI"/>
          <w:sz w:val="18"/>
          <w:szCs w:val="18"/>
        </w:rPr>
        <w:t>stable</w:t>
      </w:r>
      <w:proofErr w:type="gramEnd"/>
      <w:r w:rsidRPr="00285DBF">
        <w:rPr>
          <w:rFonts w:ascii="Segoe UI" w:eastAsia="Times New Roman" w:hAnsi="Segoe UI" w:cs="Segoe UI"/>
          <w:sz w:val="18"/>
          <w:szCs w:val="18"/>
        </w:rPr>
        <w:t xml:space="preserve"> and efficient markets. The WFE shares regulatory authorities’ goals of ensuring the safety and soundness of the global financial system.</w:t>
      </w:r>
    </w:p>
    <w:p w14:paraId="05820E7C" w14:textId="77777777" w:rsidR="00C14301" w:rsidRPr="00285DBF" w:rsidRDefault="00C14301" w:rsidP="00C425BA">
      <w:pPr>
        <w:rPr>
          <w:rFonts w:ascii="Segoe UI" w:eastAsia="Times New Roman" w:hAnsi="Segoe UI" w:cs="Segoe UI"/>
          <w:sz w:val="18"/>
          <w:szCs w:val="18"/>
        </w:rPr>
      </w:pPr>
    </w:p>
    <w:p w14:paraId="6E179398" w14:textId="53D09E67" w:rsidR="00C425BA"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With extensive experience of developing and enforcing high standards of conduct, the WFE and its members support an orderly, secure, fair</w:t>
      </w:r>
      <w:r w:rsidR="005B53A1" w:rsidRPr="00285DBF">
        <w:rPr>
          <w:rFonts w:ascii="Segoe UI" w:eastAsia="Times New Roman" w:hAnsi="Segoe UI" w:cs="Segoe UI"/>
          <w:sz w:val="18"/>
          <w:szCs w:val="18"/>
        </w:rPr>
        <w:t>,</w:t>
      </w:r>
      <w:r w:rsidRPr="00285DBF">
        <w:rPr>
          <w:rFonts w:ascii="Segoe UI" w:eastAsia="Times New Roman" w:hAnsi="Segoe UI" w:cs="Segoe UI"/>
          <w:sz w:val="18"/>
          <w:szCs w:val="18"/>
        </w:rPr>
        <w:t xml:space="preserve"> and transparent environment for investors; for companies that raise capital; and for all who deal with financial risk. We seek outcomes that maximise the common good, consumer confidence</w:t>
      </w:r>
      <w:r w:rsidR="000258DD" w:rsidRPr="00285DBF">
        <w:rPr>
          <w:rFonts w:ascii="Segoe UI" w:eastAsia="Times New Roman" w:hAnsi="Segoe UI" w:cs="Segoe UI"/>
          <w:sz w:val="18"/>
          <w:szCs w:val="18"/>
        </w:rPr>
        <w:t>,</w:t>
      </w:r>
      <w:r w:rsidRPr="00285DBF">
        <w:rPr>
          <w:rFonts w:ascii="Segoe UI" w:eastAsia="Times New Roman" w:hAnsi="Segoe UI" w:cs="Segoe UI"/>
          <w:sz w:val="18"/>
          <w:szCs w:val="18"/>
        </w:rPr>
        <w:t xml:space="preserve"> and economic growth</w:t>
      </w:r>
      <w:r w:rsidR="00CE5AA6" w:rsidRPr="00285DBF">
        <w:rPr>
          <w:rFonts w:ascii="Segoe UI" w:eastAsia="Times New Roman" w:hAnsi="Segoe UI" w:cs="Segoe UI"/>
          <w:sz w:val="18"/>
          <w:szCs w:val="18"/>
        </w:rPr>
        <w:t>, a</w:t>
      </w:r>
      <w:r w:rsidRPr="00285DBF">
        <w:rPr>
          <w:rFonts w:ascii="Segoe UI" w:eastAsia="Times New Roman" w:hAnsi="Segoe UI" w:cs="Segoe UI"/>
          <w:sz w:val="18"/>
          <w:szCs w:val="18"/>
        </w:rPr>
        <w:t>nd we engage with policy makers and regulators in an open, collaborative way, reflecting the central, public role that exchanges and CCPs play in a globally integrated financial system.</w:t>
      </w:r>
    </w:p>
    <w:p w14:paraId="519EED18" w14:textId="77777777" w:rsidR="00C425BA" w:rsidRPr="00285DBF" w:rsidRDefault="00C425BA" w:rsidP="00C425BA">
      <w:pPr>
        <w:rPr>
          <w:rFonts w:ascii="Segoe UI" w:eastAsia="Times New Roman" w:hAnsi="Segoe UI" w:cs="Segoe UI"/>
          <w:sz w:val="18"/>
          <w:szCs w:val="18"/>
        </w:rPr>
      </w:pPr>
    </w:p>
    <w:p w14:paraId="7285F0BB" w14:textId="19861A58" w:rsidR="00CE5D13" w:rsidRPr="00285DBF" w:rsidRDefault="00C425BA" w:rsidP="00C425BA">
      <w:pPr>
        <w:rPr>
          <w:rFonts w:ascii="Segoe UI" w:eastAsia="Times New Roman" w:hAnsi="Segoe UI" w:cs="Segoe UI"/>
          <w:sz w:val="18"/>
          <w:szCs w:val="18"/>
        </w:rPr>
      </w:pPr>
      <w:r w:rsidRPr="00285DBF">
        <w:rPr>
          <w:rFonts w:ascii="Segoe UI" w:eastAsia="Times New Roman" w:hAnsi="Segoe UI" w:cs="Segoe UI"/>
          <w:sz w:val="18"/>
          <w:szCs w:val="18"/>
        </w:rPr>
        <w:t>If you have any further questions, or wish to follow-up on our contribution, the WFE remains at your disposal. Please contact:</w:t>
      </w:r>
    </w:p>
    <w:p w14:paraId="1B09ED5E" w14:textId="77777777" w:rsidR="00C425BA" w:rsidRPr="00285DBF" w:rsidRDefault="00C425BA" w:rsidP="00C425BA">
      <w:pPr>
        <w:rPr>
          <w:rFonts w:ascii="Segoe UI" w:eastAsia="Times New Roman" w:hAnsi="Segoe UI" w:cs="Segoe UI"/>
          <w:sz w:val="18"/>
          <w:szCs w:val="18"/>
        </w:rPr>
      </w:pPr>
    </w:p>
    <w:p w14:paraId="6301B38C"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Charlie Ryder, Regulatory Affairs Manager: </w:t>
      </w:r>
      <w:hyperlink r:id="rId14" w:history="1">
        <w:r w:rsidRPr="007B0D31">
          <w:rPr>
            <w:rStyle w:val="Hyperlink"/>
            <w:rFonts w:ascii="Segoe UI" w:eastAsia="Times New Roman" w:hAnsi="Segoe UI" w:cs="Segoe UI"/>
            <w:sz w:val="18"/>
            <w:szCs w:val="18"/>
          </w:rPr>
          <w:t>cryder@world-exchanges.org</w:t>
        </w:r>
      </w:hyperlink>
    </w:p>
    <w:p w14:paraId="5351EA75"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Richard Metcalfe, Head of Regulatory Affairs: </w:t>
      </w:r>
      <w:hyperlink r:id="rId15" w:history="1">
        <w:r w:rsidRPr="007B0D31">
          <w:rPr>
            <w:rStyle w:val="Hyperlink"/>
            <w:rFonts w:ascii="Segoe UI" w:eastAsia="Times New Roman" w:hAnsi="Segoe UI" w:cs="Segoe UI"/>
            <w:sz w:val="18"/>
            <w:szCs w:val="18"/>
          </w:rPr>
          <w:t>rmetcalfe@world-exchanges.org</w:t>
        </w:r>
      </w:hyperlink>
    </w:p>
    <w:p w14:paraId="089C7A3A" w14:textId="77777777" w:rsidR="0041073B" w:rsidRDefault="0041073B" w:rsidP="0041073B">
      <w:pPr>
        <w:rPr>
          <w:rFonts w:ascii="Segoe UI" w:eastAsia="Times New Roman" w:hAnsi="Segoe UI" w:cs="Segoe UI"/>
          <w:sz w:val="18"/>
          <w:szCs w:val="18"/>
        </w:rPr>
      </w:pPr>
      <w:r w:rsidRPr="00272446">
        <w:rPr>
          <w:rFonts w:ascii="Segoe UI" w:eastAsia="Times New Roman" w:hAnsi="Segoe UI" w:cs="Segoe UI"/>
          <w:sz w:val="18"/>
          <w:szCs w:val="18"/>
        </w:rPr>
        <w:t xml:space="preserve">Nandini Sukumar, Chief Executive Officer: </w:t>
      </w:r>
      <w:hyperlink r:id="rId16" w:history="1">
        <w:r w:rsidRPr="007B0D31">
          <w:rPr>
            <w:rStyle w:val="Hyperlink"/>
            <w:rFonts w:ascii="Segoe UI" w:eastAsia="Times New Roman" w:hAnsi="Segoe UI" w:cs="Segoe UI"/>
            <w:sz w:val="18"/>
            <w:szCs w:val="18"/>
          </w:rPr>
          <w:t>nsukumar@world-exchanges.org</w:t>
        </w:r>
      </w:hyperlink>
    </w:p>
    <w:p w14:paraId="09B2A0EF" w14:textId="3649015C" w:rsidR="00807E4B" w:rsidRDefault="00111EAE" w:rsidP="00B83B93">
      <w:pPr>
        <w:pStyle w:val="paragraph"/>
        <w:pageBreakBefore/>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R</w:t>
      </w:r>
      <w:r w:rsidR="00807E4B">
        <w:rPr>
          <w:rStyle w:val="normaltextrun"/>
          <w:rFonts w:ascii="Calibri" w:hAnsi="Calibri" w:cs="Calibri"/>
          <w:color w:val="1F3864"/>
          <w:sz w:val="44"/>
          <w:szCs w:val="44"/>
        </w:rPr>
        <w:t xml:space="preserve">esponse </w:t>
      </w:r>
    </w:p>
    <w:p w14:paraId="46063803" w14:textId="1094B83A" w:rsidR="0041073B" w:rsidRDefault="00FC2EA3" w:rsidP="00A754F4">
      <w:pPr>
        <w:pStyle w:val="paragraph"/>
        <w:textAlignment w:val="baseline"/>
        <w:rPr>
          <w:rFonts w:ascii="Segoe UI" w:hAnsi="Segoe UI" w:cs="Segoe UI"/>
          <w:sz w:val="18"/>
          <w:szCs w:val="18"/>
        </w:rPr>
      </w:pPr>
      <w:r>
        <w:rPr>
          <w:rFonts w:ascii="Segoe UI" w:hAnsi="Segoe UI" w:cs="Segoe UI"/>
          <w:sz w:val="18"/>
          <w:szCs w:val="18"/>
        </w:rPr>
        <w:t>The WFE welcomes the opportunity to</w:t>
      </w:r>
      <w:r w:rsidR="00554922">
        <w:rPr>
          <w:rFonts w:ascii="Segoe UI" w:hAnsi="Segoe UI" w:cs="Segoe UI"/>
          <w:sz w:val="18"/>
          <w:szCs w:val="18"/>
        </w:rPr>
        <w:t xml:space="preserve"> respond to the</w:t>
      </w:r>
      <w:r>
        <w:rPr>
          <w:rFonts w:ascii="Segoe UI" w:hAnsi="Segoe UI" w:cs="Segoe UI"/>
          <w:sz w:val="18"/>
          <w:szCs w:val="18"/>
        </w:rPr>
        <w:t xml:space="preserve"> </w:t>
      </w:r>
      <w:r w:rsidR="005F3F31">
        <w:rPr>
          <w:rFonts w:ascii="Segoe UI" w:hAnsi="Segoe UI" w:cs="Segoe UI"/>
          <w:sz w:val="18"/>
          <w:szCs w:val="18"/>
        </w:rPr>
        <w:t>consultative report on</w:t>
      </w:r>
      <w:r w:rsidRPr="00FC2EA3">
        <w:rPr>
          <w:rFonts w:ascii="Segoe UI" w:hAnsi="Segoe UI" w:cs="Segoe UI"/>
          <w:sz w:val="18"/>
          <w:szCs w:val="18"/>
        </w:rPr>
        <w:t xml:space="preserve"> the Transparency and Responsiveness of Initial Margin in Centrally Cleared Markets</w:t>
      </w:r>
      <w:r w:rsidR="005F3F31">
        <w:rPr>
          <w:rFonts w:ascii="Segoe UI" w:hAnsi="Segoe UI" w:cs="Segoe UI"/>
          <w:sz w:val="18"/>
          <w:szCs w:val="18"/>
        </w:rPr>
        <w:t xml:space="preserve"> review and policy proposals</w:t>
      </w:r>
      <w:r w:rsidR="00554922">
        <w:rPr>
          <w:rFonts w:ascii="Segoe UI" w:hAnsi="Segoe UI" w:cs="Segoe UI"/>
          <w:sz w:val="18"/>
          <w:szCs w:val="18"/>
        </w:rPr>
        <w:t xml:space="preserve"> published by the </w:t>
      </w:r>
      <w:r w:rsidR="00554922" w:rsidRPr="00554922">
        <w:rPr>
          <w:rFonts w:ascii="Segoe UI" w:hAnsi="Segoe UI" w:cs="Segoe UI"/>
          <w:sz w:val="18"/>
          <w:szCs w:val="18"/>
        </w:rPr>
        <w:t>Basel Committee on Banking Supervision</w:t>
      </w:r>
      <w:r w:rsidR="00554922">
        <w:rPr>
          <w:rFonts w:ascii="Segoe UI" w:hAnsi="Segoe UI" w:cs="Segoe UI"/>
          <w:sz w:val="18"/>
          <w:szCs w:val="18"/>
        </w:rPr>
        <w:t xml:space="preserve"> (BCBS), the </w:t>
      </w:r>
      <w:r w:rsidR="00554922" w:rsidRPr="00554922">
        <w:rPr>
          <w:rFonts w:ascii="Segoe UI" w:hAnsi="Segoe UI" w:cs="Segoe UI"/>
          <w:sz w:val="18"/>
          <w:szCs w:val="18"/>
        </w:rPr>
        <w:t xml:space="preserve">Committee on Payments and Market Infrastructures </w:t>
      </w:r>
      <w:r w:rsidR="00554922">
        <w:rPr>
          <w:rFonts w:ascii="Segoe UI" w:hAnsi="Segoe UI" w:cs="Segoe UI"/>
          <w:sz w:val="18"/>
          <w:szCs w:val="18"/>
        </w:rPr>
        <w:t xml:space="preserve">(CPMI), and the </w:t>
      </w:r>
      <w:r w:rsidR="00554922" w:rsidRPr="00554922">
        <w:rPr>
          <w:rFonts w:ascii="Segoe UI" w:hAnsi="Segoe UI" w:cs="Segoe UI"/>
          <w:sz w:val="18"/>
          <w:szCs w:val="18"/>
        </w:rPr>
        <w:t>Board of the International Organization of Securities Commissions</w:t>
      </w:r>
      <w:r w:rsidR="00554922">
        <w:rPr>
          <w:rFonts w:ascii="Segoe UI" w:hAnsi="Segoe UI" w:cs="Segoe UI"/>
          <w:sz w:val="18"/>
          <w:szCs w:val="18"/>
        </w:rPr>
        <w:t xml:space="preserve"> (</w:t>
      </w:r>
      <w:r w:rsidR="00982D94">
        <w:rPr>
          <w:rFonts w:ascii="Segoe UI" w:hAnsi="Segoe UI" w:cs="Segoe UI"/>
          <w:sz w:val="18"/>
          <w:szCs w:val="18"/>
        </w:rPr>
        <w:t>IOSCO)</w:t>
      </w:r>
      <w:r w:rsidR="00355EFE">
        <w:rPr>
          <w:rFonts w:ascii="Segoe UI" w:hAnsi="Segoe UI" w:cs="Segoe UI"/>
          <w:sz w:val="18"/>
          <w:szCs w:val="18"/>
        </w:rPr>
        <w:t xml:space="preserve"> </w:t>
      </w:r>
      <w:r w:rsidR="00FE2CF9">
        <w:rPr>
          <w:rFonts w:ascii="Segoe UI" w:hAnsi="Segoe UI" w:cs="Segoe UI"/>
          <w:sz w:val="18"/>
          <w:szCs w:val="18"/>
        </w:rPr>
        <w:t xml:space="preserve">under the umbrella of </w:t>
      </w:r>
      <w:r w:rsidR="00355EFE">
        <w:rPr>
          <w:rFonts w:ascii="Segoe UI" w:hAnsi="Segoe UI" w:cs="Segoe UI"/>
          <w:sz w:val="18"/>
          <w:szCs w:val="18"/>
        </w:rPr>
        <w:t>the Joint Working Group on Margin (JWGM)</w:t>
      </w:r>
      <w:r w:rsidR="00982D94">
        <w:rPr>
          <w:rFonts w:ascii="Segoe UI" w:hAnsi="Segoe UI" w:cs="Segoe UI"/>
          <w:sz w:val="18"/>
          <w:szCs w:val="18"/>
        </w:rPr>
        <w:t>.</w:t>
      </w:r>
    </w:p>
    <w:p w14:paraId="0F37C669" w14:textId="4F978F0B" w:rsidR="00175C5D" w:rsidRDefault="00E10E06" w:rsidP="00A754F4">
      <w:pPr>
        <w:pStyle w:val="paragraph"/>
        <w:textAlignment w:val="baseline"/>
        <w:rPr>
          <w:rFonts w:ascii="Segoe UI" w:hAnsi="Segoe UI" w:cs="Segoe UI"/>
          <w:sz w:val="18"/>
          <w:szCs w:val="18"/>
        </w:rPr>
      </w:pPr>
      <w:r w:rsidRPr="00E10E06">
        <w:rPr>
          <w:rFonts w:ascii="Segoe UI" w:hAnsi="Segoe UI" w:cs="Segoe UI"/>
          <w:sz w:val="18"/>
          <w:szCs w:val="18"/>
        </w:rPr>
        <w:t xml:space="preserve">The WFE and its members share regulatory authorities’ goals of ensuring the safety and soundness of the global financial system, which is critical to enhancing investor and consumer confidence, and promoting economic growth. </w:t>
      </w:r>
      <w:r>
        <w:rPr>
          <w:rFonts w:ascii="Segoe UI" w:hAnsi="Segoe UI" w:cs="Segoe UI"/>
          <w:sz w:val="18"/>
          <w:szCs w:val="18"/>
        </w:rPr>
        <w:t xml:space="preserve">However, </w:t>
      </w:r>
      <w:r w:rsidR="008749F4">
        <w:rPr>
          <w:rFonts w:ascii="Segoe UI" w:hAnsi="Segoe UI" w:cs="Segoe UI"/>
          <w:sz w:val="18"/>
          <w:szCs w:val="18"/>
        </w:rPr>
        <w:t xml:space="preserve">we </w:t>
      </w:r>
      <w:r w:rsidR="00474E7A">
        <w:rPr>
          <w:rFonts w:ascii="Segoe UI" w:hAnsi="Segoe UI" w:cs="Segoe UI"/>
          <w:sz w:val="18"/>
          <w:szCs w:val="18"/>
        </w:rPr>
        <w:t>question the continued focus upon</w:t>
      </w:r>
      <w:r w:rsidR="00923DAA">
        <w:rPr>
          <w:rFonts w:ascii="Segoe UI" w:hAnsi="Segoe UI" w:cs="Segoe UI"/>
          <w:sz w:val="18"/>
          <w:szCs w:val="18"/>
        </w:rPr>
        <w:t xml:space="preserve"> CCP</w:t>
      </w:r>
      <w:r w:rsidR="00273F23" w:rsidRPr="00273F23">
        <w:rPr>
          <w:rFonts w:ascii="Segoe UI" w:hAnsi="Segoe UI" w:cs="Segoe UI"/>
          <w:sz w:val="18"/>
          <w:szCs w:val="18"/>
        </w:rPr>
        <w:t xml:space="preserve"> margining practices</w:t>
      </w:r>
      <w:r w:rsidR="00474E7A">
        <w:rPr>
          <w:rFonts w:ascii="Segoe UI" w:hAnsi="Segoe UI" w:cs="Segoe UI"/>
          <w:sz w:val="18"/>
          <w:szCs w:val="18"/>
        </w:rPr>
        <w:t xml:space="preserve"> following the publishing of</w:t>
      </w:r>
      <w:r w:rsidR="00273F23" w:rsidRPr="00273F23">
        <w:rPr>
          <w:rFonts w:ascii="Segoe UI" w:hAnsi="Segoe UI" w:cs="Segoe UI"/>
          <w:sz w:val="18"/>
          <w:szCs w:val="18"/>
        </w:rPr>
        <w:t xml:space="preserve"> data in the </w:t>
      </w:r>
      <w:r w:rsidR="00247316">
        <w:rPr>
          <w:rFonts w:ascii="Segoe UI" w:hAnsi="Segoe UI" w:cs="Segoe UI"/>
          <w:sz w:val="18"/>
          <w:szCs w:val="18"/>
        </w:rPr>
        <w:t xml:space="preserve">original </w:t>
      </w:r>
      <w:r w:rsidR="00273F23">
        <w:rPr>
          <w:rFonts w:ascii="Segoe UI" w:hAnsi="Segoe UI" w:cs="Segoe UI"/>
          <w:sz w:val="18"/>
          <w:szCs w:val="18"/>
        </w:rPr>
        <w:t>2022</w:t>
      </w:r>
      <w:r w:rsidR="0086790B">
        <w:rPr>
          <w:rFonts w:ascii="Segoe UI" w:hAnsi="Segoe UI" w:cs="Segoe UI"/>
          <w:sz w:val="18"/>
          <w:szCs w:val="18"/>
        </w:rPr>
        <w:t xml:space="preserve"> </w:t>
      </w:r>
      <w:r w:rsidR="00FE2CF9">
        <w:rPr>
          <w:rFonts w:ascii="Segoe UI" w:hAnsi="Segoe UI" w:cs="Segoe UI"/>
          <w:sz w:val="18"/>
          <w:szCs w:val="18"/>
        </w:rPr>
        <w:t>JWGM</w:t>
      </w:r>
      <w:r w:rsidR="00273F23">
        <w:rPr>
          <w:rFonts w:ascii="Segoe UI" w:hAnsi="Segoe UI" w:cs="Segoe UI"/>
          <w:sz w:val="18"/>
          <w:szCs w:val="18"/>
        </w:rPr>
        <w:t xml:space="preserve"> </w:t>
      </w:r>
      <w:r w:rsidR="00065C43">
        <w:rPr>
          <w:rFonts w:ascii="Segoe UI" w:hAnsi="Segoe UI" w:cs="Segoe UI"/>
          <w:sz w:val="18"/>
          <w:szCs w:val="18"/>
        </w:rPr>
        <w:t>“</w:t>
      </w:r>
      <w:r w:rsidR="00273F23" w:rsidRPr="0063171F">
        <w:rPr>
          <w:rFonts w:ascii="Segoe UI" w:hAnsi="Segoe UI" w:cs="Segoe UI"/>
          <w:i/>
          <w:iCs/>
          <w:sz w:val="18"/>
          <w:szCs w:val="18"/>
        </w:rPr>
        <w:t>Review of Margining Practices</w:t>
      </w:r>
      <w:r w:rsidR="00065C43">
        <w:rPr>
          <w:rFonts w:ascii="Segoe UI" w:hAnsi="Segoe UI" w:cs="Segoe UI"/>
          <w:i/>
          <w:iCs/>
          <w:sz w:val="18"/>
          <w:szCs w:val="18"/>
        </w:rPr>
        <w:t>”</w:t>
      </w:r>
      <w:r w:rsidR="00273F23" w:rsidRPr="00273F23">
        <w:rPr>
          <w:rFonts w:ascii="Segoe UI" w:hAnsi="Segoe UI" w:cs="Segoe UI"/>
          <w:sz w:val="18"/>
          <w:szCs w:val="18"/>
        </w:rPr>
        <w:t xml:space="preserve"> </w:t>
      </w:r>
      <w:r w:rsidR="00474E7A">
        <w:rPr>
          <w:rFonts w:ascii="Segoe UI" w:hAnsi="Segoe UI" w:cs="Segoe UI"/>
          <w:sz w:val="18"/>
          <w:szCs w:val="18"/>
        </w:rPr>
        <w:t>which showed</w:t>
      </w:r>
      <w:r w:rsidR="00474E7A" w:rsidRPr="00273F23">
        <w:rPr>
          <w:rFonts w:ascii="Segoe UI" w:hAnsi="Segoe UI" w:cs="Segoe UI"/>
          <w:sz w:val="18"/>
          <w:szCs w:val="18"/>
        </w:rPr>
        <w:t xml:space="preserve"> </w:t>
      </w:r>
      <w:r w:rsidR="00273F23" w:rsidRPr="00273F23">
        <w:rPr>
          <w:rFonts w:ascii="Segoe UI" w:hAnsi="Segoe UI" w:cs="Segoe UI"/>
          <w:sz w:val="18"/>
          <w:szCs w:val="18"/>
        </w:rPr>
        <w:t xml:space="preserve">that </w:t>
      </w:r>
      <w:r w:rsidR="00247316" w:rsidRPr="00175C5D">
        <w:rPr>
          <w:rFonts w:ascii="Segoe UI" w:hAnsi="Segoe UI" w:cs="Segoe UI"/>
          <w:sz w:val="18"/>
          <w:szCs w:val="18"/>
        </w:rPr>
        <w:t xml:space="preserve">CCPs </w:t>
      </w:r>
      <w:r w:rsidR="00247316">
        <w:rPr>
          <w:rFonts w:ascii="Segoe UI" w:hAnsi="Segoe UI" w:cs="Segoe UI"/>
          <w:sz w:val="18"/>
          <w:szCs w:val="18"/>
        </w:rPr>
        <w:t>have not been the</w:t>
      </w:r>
      <w:r w:rsidR="00247316" w:rsidRPr="00175C5D">
        <w:rPr>
          <w:rFonts w:ascii="Segoe UI" w:hAnsi="Segoe UI" w:cs="Segoe UI"/>
          <w:sz w:val="18"/>
          <w:szCs w:val="18"/>
        </w:rPr>
        <w:t xml:space="preserve"> cause of undue liquidity pressures</w:t>
      </w:r>
      <w:r w:rsidR="00247316">
        <w:rPr>
          <w:rFonts w:ascii="Segoe UI" w:hAnsi="Segoe UI" w:cs="Segoe UI"/>
          <w:sz w:val="18"/>
          <w:szCs w:val="18"/>
        </w:rPr>
        <w:t xml:space="preserve"> in the market, and instead, </w:t>
      </w:r>
      <w:r w:rsidR="00F271B3">
        <w:rPr>
          <w:rFonts w:ascii="Segoe UI" w:hAnsi="Segoe UI" w:cs="Segoe UI"/>
          <w:sz w:val="18"/>
          <w:szCs w:val="18"/>
        </w:rPr>
        <w:t>have</w:t>
      </w:r>
      <w:r w:rsidR="00273F23" w:rsidRPr="00273F23">
        <w:rPr>
          <w:rFonts w:ascii="Segoe UI" w:hAnsi="Segoe UI" w:cs="Segoe UI"/>
          <w:sz w:val="18"/>
          <w:szCs w:val="18"/>
        </w:rPr>
        <w:t xml:space="preserve"> muted the impact of the turmoil on market stakeholders effectively.</w:t>
      </w:r>
      <w:r w:rsidR="00F6206B">
        <w:rPr>
          <w:rStyle w:val="FootnoteReference"/>
          <w:rFonts w:ascii="Segoe UI" w:hAnsi="Segoe UI" w:cs="Segoe UI"/>
          <w:sz w:val="18"/>
          <w:szCs w:val="18"/>
        </w:rPr>
        <w:footnoteReference w:id="2"/>
      </w:r>
    </w:p>
    <w:p w14:paraId="39248BFD" w14:textId="6823ED7A" w:rsidR="00E60D8B" w:rsidRDefault="00D9402E" w:rsidP="00A754F4">
      <w:pPr>
        <w:pStyle w:val="paragraph"/>
        <w:textAlignment w:val="baseline"/>
        <w:rPr>
          <w:rFonts w:ascii="Segoe UI" w:hAnsi="Segoe UI" w:cs="Segoe UI"/>
          <w:sz w:val="18"/>
          <w:szCs w:val="18"/>
        </w:rPr>
      </w:pPr>
      <w:r>
        <w:rPr>
          <w:rFonts w:ascii="Segoe UI" w:hAnsi="Segoe UI" w:cs="Segoe UI"/>
          <w:sz w:val="18"/>
          <w:szCs w:val="18"/>
        </w:rPr>
        <w:t xml:space="preserve">Furthermore, the WFE </w:t>
      </w:r>
      <w:r w:rsidR="005F3F31">
        <w:rPr>
          <w:rFonts w:ascii="Segoe UI" w:hAnsi="Segoe UI" w:cs="Segoe UI"/>
          <w:sz w:val="18"/>
          <w:szCs w:val="18"/>
        </w:rPr>
        <w:t>believes it is important to recogn</w:t>
      </w:r>
      <w:r w:rsidR="005F3F31" w:rsidRPr="007552B2">
        <w:rPr>
          <w:rFonts w:ascii="Segoe UI" w:hAnsi="Segoe UI" w:cs="Segoe UI"/>
          <w:sz w:val="18"/>
          <w:szCs w:val="18"/>
        </w:rPr>
        <w:t>i</w:t>
      </w:r>
      <w:r w:rsidR="00F83271" w:rsidRPr="007552B2">
        <w:rPr>
          <w:rFonts w:ascii="Segoe UI" w:hAnsi="Segoe UI" w:cs="Segoe UI"/>
          <w:sz w:val="18"/>
          <w:szCs w:val="18"/>
        </w:rPr>
        <w:t>s</w:t>
      </w:r>
      <w:r w:rsidR="005F3F31">
        <w:rPr>
          <w:rFonts w:ascii="Segoe UI" w:hAnsi="Segoe UI" w:cs="Segoe UI"/>
          <w:sz w:val="18"/>
          <w:szCs w:val="18"/>
        </w:rPr>
        <w:t xml:space="preserve">e </w:t>
      </w:r>
      <w:r w:rsidR="00273F23" w:rsidRPr="00273F23">
        <w:rPr>
          <w:rFonts w:ascii="Segoe UI" w:hAnsi="Segoe UI" w:cs="Segoe UI"/>
          <w:sz w:val="18"/>
          <w:szCs w:val="18"/>
        </w:rPr>
        <w:t>the data</w:t>
      </w:r>
      <w:r w:rsidR="00997094">
        <w:rPr>
          <w:rFonts w:ascii="Segoe UI" w:hAnsi="Segoe UI" w:cs="Segoe UI"/>
          <w:sz w:val="18"/>
          <w:szCs w:val="18"/>
        </w:rPr>
        <w:t xml:space="preserve"> </w:t>
      </w:r>
      <w:r w:rsidR="00D86200">
        <w:rPr>
          <w:rFonts w:ascii="Segoe UI" w:hAnsi="Segoe UI" w:cs="Segoe UI"/>
          <w:sz w:val="18"/>
          <w:szCs w:val="18"/>
        </w:rPr>
        <w:t>t</w:t>
      </w:r>
      <w:r w:rsidR="00997094">
        <w:rPr>
          <w:rFonts w:ascii="Segoe UI" w:hAnsi="Segoe UI" w:cs="Segoe UI"/>
          <w:sz w:val="18"/>
          <w:szCs w:val="18"/>
        </w:rPr>
        <w:t>hat</w:t>
      </w:r>
      <w:r w:rsidR="00273F23" w:rsidRPr="00273F23">
        <w:rPr>
          <w:rFonts w:ascii="Segoe UI" w:hAnsi="Segoe UI" w:cs="Segoe UI"/>
          <w:sz w:val="18"/>
          <w:szCs w:val="18"/>
        </w:rPr>
        <w:t xml:space="preserve"> </w:t>
      </w:r>
      <w:r w:rsidR="005F3F31">
        <w:rPr>
          <w:rFonts w:ascii="Segoe UI" w:hAnsi="Segoe UI" w:cs="Segoe UI"/>
          <w:sz w:val="18"/>
          <w:szCs w:val="18"/>
        </w:rPr>
        <w:t>CCPs</w:t>
      </w:r>
      <w:r w:rsidR="005F3F31" w:rsidRPr="00273F23">
        <w:rPr>
          <w:rFonts w:ascii="Segoe UI" w:hAnsi="Segoe UI" w:cs="Segoe UI"/>
          <w:sz w:val="18"/>
          <w:szCs w:val="18"/>
        </w:rPr>
        <w:t xml:space="preserve"> </w:t>
      </w:r>
      <w:r w:rsidR="00273F23" w:rsidRPr="00273F23">
        <w:rPr>
          <w:rFonts w:ascii="Segoe UI" w:hAnsi="Segoe UI" w:cs="Segoe UI"/>
          <w:sz w:val="18"/>
          <w:szCs w:val="18"/>
        </w:rPr>
        <w:t>already disclose on a regular basis to the regulators, the market, and the public</w:t>
      </w:r>
      <w:r w:rsidR="00273F23">
        <w:rPr>
          <w:rFonts w:ascii="Segoe UI" w:hAnsi="Segoe UI" w:cs="Segoe UI"/>
          <w:sz w:val="18"/>
          <w:szCs w:val="18"/>
        </w:rPr>
        <w:t>.</w:t>
      </w:r>
      <w:r w:rsidR="0080507B">
        <w:rPr>
          <w:rFonts w:ascii="Segoe UI" w:hAnsi="Segoe UI" w:cs="Segoe UI"/>
          <w:sz w:val="18"/>
          <w:szCs w:val="18"/>
        </w:rPr>
        <w:t xml:space="preserve"> </w:t>
      </w:r>
      <w:proofErr w:type="gramStart"/>
      <w:r w:rsidR="00C86025">
        <w:rPr>
          <w:rFonts w:ascii="Segoe UI" w:hAnsi="Segoe UI" w:cs="Segoe UI"/>
          <w:sz w:val="18"/>
          <w:szCs w:val="18"/>
        </w:rPr>
        <w:t>In particular</w:t>
      </w:r>
      <w:r w:rsidR="00A573F5">
        <w:rPr>
          <w:rFonts w:ascii="Segoe UI" w:hAnsi="Segoe UI" w:cs="Segoe UI"/>
          <w:sz w:val="18"/>
          <w:szCs w:val="18"/>
        </w:rPr>
        <w:t xml:space="preserve">, </w:t>
      </w:r>
      <w:r w:rsidR="00C86025">
        <w:rPr>
          <w:rFonts w:ascii="Segoe UI" w:hAnsi="Segoe UI" w:cs="Segoe UI"/>
          <w:sz w:val="18"/>
          <w:szCs w:val="18"/>
        </w:rPr>
        <w:t>we</w:t>
      </w:r>
      <w:proofErr w:type="gramEnd"/>
      <w:r w:rsidR="00C86025">
        <w:rPr>
          <w:rFonts w:ascii="Segoe UI" w:hAnsi="Segoe UI" w:cs="Segoe UI"/>
          <w:sz w:val="18"/>
          <w:szCs w:val="18"/>
        </w:rPr>
        <w:t xml:space="preserve"> wish to emphasise </w:t>
      </w:r>
      <w:r w:rsidR="005F3F31">
        <w:rPr>
          <w:rFonts w:ascii="Segoe UI" w:hAnsi="Segoe UI" w:cs="Segoe UI"/>
          <w:sz w:val="18"/>
          <w:szCs w:val="18"/>
        </w:rPr>
        <w:t>the importance of</w:t>
      </w:r>
      <w:r w:rsidR="00202D7F" w:rsidRPr="00202D7F">
        <w:rPr>
          <w:rFonts w:ascii="Segoe UI" w:hAnsi="Segoe UI" w:cs="Segoe UI"/>
          <w:sz w:val="18"/>
          <w:szCs w:val="18"/>
        </w:rPr>
        <w:t xml:space="preserve"> the provision of information </w:t>
      </w:r>
      <w:r w:rsidR="00C86025">
        <w:rPr>
          <w:rFonts w:ascii="Segoe UI" w:hAnsi="Segoe UI" w:cs="Segoe UI"/>
          <w:sz w:val="18"/>
          <w:szCs w:val="18"/>
        </w:rPr>
        <w:t>by</w:t>
      </w:r>
      <w:r w:rsidR="00202D7F" w:rsidRPr="00202D7F">
        <w:rPr>
          <w:rFonts w:ascii="Segoe UI" w:hAnsi="Segoe UI" w:cs="Segoe UI"/>
          <w:sz w:val="18"/>
          <w:szCs w:val="18"/>
        </w:rPr>
        <w:t xml:space="preserve"> the clearing member to the end-client </w:t>
      </w:r>
      <w:r w:rsidR="00083BE1">
        <w:rPr>
          <w:rFonts w:ascii="Segoe UI" w:hAnsi="Segoe UI" w:cs="Segoe UI"/>
          <w:sz w:val="18"/>
          <w:szCs w:val="18"/>
        </w:rPr>
        <w:t xml:space="preserve">(for example, </w:t>
      </w:r>
      <w:r w:rsidR="002D557A">
        <w:rPr>
          <w:rFonts w:ascii="Segoe UI" w:hAnsi="Segoe UI" w:cs="Segoe UI"/>
          <w:sz w:val="18"/>
          <w:szCs w:val="18"/>
        </w:rPr>
        <w:t>in</w:t>
      </w:r>
      <w:r w:rsidR="00202D7F" w:rsidRPr="00202D7F">
        <w:rPr>
          <w:rFonts w:ascii="Segoe UI" w:hAnsi="Segoe UI" w:cs="Segoe UI"/>
          <w:sz w:val="18"/>
          <w:szCs w:val="18"/>
        </w:rPr>
        <w:t xml:space="preserve"> margin add-ons charged by the clearing member</w:t>
      </w:r>
      <w:r w:rsidR="00A016D6">
        <w:rPr>
          <w:rFonts w:ascii="Segoe UI" w:hAnsi="Segoe UI" w:cs="Segoe UI"/>
          <w:sz w:val="18"/>
          <w:szCs w:val="18"/>
        </w:rPr>
        <w:t xml:space="preserve"> (CM)</w:t>
      </w:r>
      <w:r w:rsidR="00202D7F" w:rsidRPr="00202D7F">
        <w:rPr>
          <w:rFonts w:ascii="Segoe UI" w:hAnsi="Segoe UI" w:cs="Segoe UI"/>
          <w:sz w:val="18"/>
          <w:szCs w:val="18"/>
        </w:rPr>
        <w:t xml:space="preserve">, </w:t>
      </w:r>
      <w:r w:rsidR="002D557A">
        <w:rPr>
          <w:rFonts w:ascii="Segoe UI" w:hAnsi="Segoe UI" w:cs="Segoe UI"/>
          <w:sz w:val="18"/>
          <w:szCs w:val="18"/>
        </w:rPr>
        <w:t>which</w:t>
      </w:r>
      <w:r w:rsidR="00202D7F" w:rsidRPr="00202D7F">
        <w:rPr>
          <w:rFonts w:ascii="Segoe UI" w:hAnsi="Segoe UI" w:cs="Segoe UI"/>
          <w:sz w:val="18"/>
          <w:szCs w:val="18"/>
        </w:rPr>
        <w:t xml:space="preserve"> may be considerably higher than what </w:t>
      </w:r>
      <w:r w:rsidR="002D557A">
        <w:rPr>
          <w:rFonts w:ascii="Segoe UI" w:hAnsi="Segoe UI" w:cs="Segoe UI"/>
          <w:sz w:val="18"/>
          <w:szCs w:val="18"/>
        </w:rPr>
        <w:t>would</w:t>
      </w:r>
      <w:r w:rsidR="00202D7F" w:rsidRPr="00202D7F">
        <w:rPr>
          <w:rFonts w:ascii="Segoe UI" w:hAnsi="Segoe UI" w:cs="Segoe UI"/>
          <w:sz w:val="18"/>
          <w:szCs w:val="18"/>
        </w:rPr>
        <w:t xml:space="preserve"> be </w:t>
      </w:r>
      <w:r w:rsidR="0046434E">
        <w:rPr>
          <w:rFonts w:ascii="Segoe UI" w:hAnsi="Segoe UI" w:cs="Segoe UI"/>
          <w:sz w:val="18"/>
          <w:szCs w:val="18"/>
        </w:rPr>
        <w:t>estimated</w:t>
      </w:r>
      <w:r w:rsidR="0046434E" w:rsidRPr="00202D7F">
        <w:rPr>
          <w:rFonts w:ascii="Segoe UI" w:hAnsi="Segoe UI" w:cs="Segoe UI"/>
          <w:sz w:val="18"/>
          <w:szCs w:val="18"/>
        </w:rPr>
        <w:t xml:space="preserve"> </w:t>
      </w:r>
      <w:r w:rsidR="00202D7F" w:rsidRPr="00202D7F">
        <w:rPr>
          <w:rFonts w:ascii="Segoe UI" w:hAnsi="Segoe UI" w:cs="Segoe UI"/>
          <w:sz w:val="18"/>
          <w:szCs w:val="18"/>
        </w:rPr>
        <w:t xml:space="preserve">by </w:t>
      </w:r>
      <w:r w:rsidR="0046434E">
        <w:rPr>
          <w:rFonts w:ascii="Segoe UI" w:hAnsi="Segoe UI" w:cs="Segoe UI"/>
          <w:sz w:val="18"/>
          <w:szCs w:val="18"/>
        </w:rPr>
        <w:t>a</w:t>
      </w:r>
      <w:r w:rsidR="0046434E" w:rsidRPr="00202D7F">
        <w:rPr>
          <w:rFonts w:ascii="Segoe UI" w:hAnsi="Segoe UI" w:cs="Segoe UI"/>
          <w:sz w:val="18"/>
          <w:szCs w:val="18"/>
        </w:rPr>
        <w:t xml:space="preserve"> </w:t>
      </w:r>
      <w:r w:rsidR="00202D7F" w:rsidRPr="00202D7F">
        <w:rPr>
          <w:rFonts w:ascii="Segoe UI" w:hAnsi="Segoe UI" w:cs="Segoe UI"/>
          <w:sz w:val="18"/>
          <w:szCs w:val="18"/>
        </w:rPr>
        <w:t xml:space="preserve">CCP </w:t>
      </w:r>
      <w:r w:rsidR="0046434E">
        <w:rPr>
          <w:rFonts w:ascii="Segoe UI" w:hAnsi="Segoe UI" w:cs="Segoe UI"/>
          <w:sz w:val="18"/>
          <w:szCs w:val="18"/>
        </w:rPr>
        <w:t>simulator</w:t>
      </w:r>
      <w:r w:rsidR="00083BE1">
        <w:rPr>
          <w:rFonts w:ascii="Segoe UI" w:hAnsi="Segoe UI" w:cs="Segoe UI"/>
          <w:sz w:val="18"/>
          <w:szCs w:val="18"/>
        </w:rPr>
        <w:t>)</w:t>
      </w:r>
      <w:r w:rsidR="00202D7F" w:rsidRPr="00202D7F">
        <w:rPr>
          <w:rFonts w:ascii="Segoe UI" w:hAnsi="Segoe UI" w:cs="Segoe UI"/>
          <w:sz w:val="18"/>
          <w:szCs w:val="18"/>
        </w:rPr>
        <w:t>.</w:t>
      </w:r>
      <w:r w:rsidR="00092801">
        <w:rPr>
          <w:rFonts w:ascii="Segoe UI" w:hAnsi="Segoe UI" w:cs="Segoe UI"/>
          <w:sz w:val="18"/>
          <w:szCs w:val="18"/>
        </w:rPr>
        <w:t xml:space="preserve"> In this respect, the WFE supports the JWGM’s efforts to improve CM-to-client transparency.</w:t>
      </w:r>
      <w:r w:rsidR="00EE4241">
        <w:rPr>
          <w:rFonts w:ascii="Segoe UI" w:hAnsi="Segoe UI" w:cs="Segoe UI"/>
          <w:sz w:val="18"/>
          <w:szCs w:val="18"/>
        </w:rPr>
        <w:t xml:space="preserve"> </w:t>
      </w:r>
      <w:r w:rsidR="00BA661E">
        <w:rPr>
          <w:rFonts w:ascii="Segoe UI" w:hAnsi="Segoe UI" w:cs="Segoe UI"/>
          <w:sz w:val="18"/>
          <w:szCs w:val="18"/>
        </w:rPr>
        <w:t>T</w:t>
      </w:r>
      <w:r w:rsidR="00AD794F" w:rsidRPr="00AD794F">
        <w:rPr>
          <w:rFonts w:ascii="Segoe UI" w:hAnsi="Segoe UI" w:cs="Segoe UI"/>
          <w:sz w:val="18"/>
          <w:szCs w:val="18"/>
        </w:rPr>
        <w:t xml:space="preserve">he WFE </w:t>
      </w:r>
      <w:r w:rsidR="002E1AC9">
        <w:rPr>
          <w:rFonts w:ascii="Segoe UI" w:hAnsi="Segoe UI" w:cs="Segoe UI"/>
          <w:sz w:val="18"/>
          <w:szCs w:val="18"/>
        </w:rPr>
        <w:t xml:space="preserve">also </w:t>
      </w:r>
      <w:r w:rsidR="00AF674A">
        <w:rPr>
          <w:rFonts w:ascii="Segoe UI" w:hAnsi="Segoe UI" w:cs="Segoe UI"/>
          <w:sz w:val="18"/>
          <w:szCs w:val="18"/>
        </w:rPr>
        <w:t>appreciate</w:t>
      </w:r>
      <w:r w:rsidR="002E1AC9">
        <w:rPr>
          <w:rFonts w:ascii="Segoe UI" w:hAnsi="Segoe UI" w:cs="Segoe UI"/>
          <w:sz w:val="18"/>
          <w:szCs w:val="18"/>
        </w:rPr>
        <w:t>s</w:t>
      </w:r>
      <w:r w:rsidR="00EE4241">
        <w:rPr>
          <w:rFonts w:ascii="Segoe UI" w:hAnsi="Segoe UI" w:cs="Segoe UI"/>
          <w:sz w:val="18"/>
          <w:szCs w:val="18"/>
        </w:rPr>
        <w:t xml:space="preserve"> the proposal’s</w:t>
      </w:r>
      <w:r w:rsidR="00AF674A" w:rsidRPr="00AD794F">
        <w:rPr>
          <w:rFonts w:ascii="Segoe UI" w:hAnsi="Segoe UI" w:cs="Segoe UI"/>
          <w:sz w:val="18"/>
          <w:szCs w:val="18"/>
        </w:rPr>
        <w:t xml:space="preserve"> </w:t>
      </w:r>
      <w:r w:rsidR="00A016D6">
        <w:rPr>
          <w:rFonts w:ascii="Segoe UI" w:hAnsi="Segoe UI" w:cs="Segoe UI"/>
          <w:sz w:val="18"/>
          <w:szCs w:val="18"/>
        </w:rPr>
        <w:t xml:space="preserve">steps </w:t>
      </w:r>
      <w:r w:rsidR="00662952">
        <w:rPr>
          <w:rFonts w:ascii="Segoe UI" w:hAnsi="Segoe UI" w:cs="Segoe UI"/>
          <w:sz w:val="18"/>
          <w:szCs w:val="18"/>
        </w:rPr>
        <w:t xml:space="preserve">to </w:t>
      </w:r>
      <w:r w:rsidR="0092412E">
        <w:rPr>
          <w:rFonts w:ascii="Segoe UI" w:hAnsi="Segoe UI" w:cs="Segoe UI"/>
          <w:sz w:val="18"/>
          <w:szCs w:val="18"/>
        </w:rPr>
        <w:t xml:space="preserve">increase </w:t>
      </w:r>
      <w:r w:rsidR="00873813">
        <w:rPr>
          <w:rFonts w:ascii="Segoe UI" w:hAnsi="Segoe UI" w:cs="Segoe UI"/>
          <w:sz w:val="18"/>
          <w:szCs w:val="18"/>
        </w:rPr>
        <w:t xml:space="preserve">CM to CCP transparency, </w:t>
      </w:r>
      <w:r w:rsidR="00A016D6">
        <w:rPr>
          <w:rFonts w:ascii="Segoe UI" w:hAnsi="Segoe UI" w:cs="Segoe UI"/>
          <w:sz w:val="18"/>
          <w:szCs w:val="18"/>
        </w:rPr>
        <w:t xml:space="preserve">but </w:t>
      </w:r>
      <w:r w:rsidR="00873813">
        <w:rPr>
          <w:rFonts w:ascii="Segoe UI" w:hAnsi="Segoe UI" w:cs="Segoe UI"/>
          <w:sz w:val="18"/>
          <w:szCs w:val="18"/>
        </w:rPr>
        <w:t xml:space="preserve">we believe that this does not go far enough to </w:t>
      </w:r>
      <w:r w:rsidR="00F077EC">
        <w:rPr>
          <w:rFonts w:ascii="Segoe UI" w:hAnsi="Segoe UI" w:cs="Segoe UI"/>
          <w:sz w:val="18"/>
          <w:szCs w:val="18"/>
        </w:rPr>
        <w:t>facilitate improve</w:t>
      </w:r>
      <w:r w:rsidR="006D3979">
        <w:rPr>
          <w:rFonts w:ascii="Segoe UI" w:hAnsi="Segoe UI" w:cs="Segoe UI"/>
          <w:sz w:val="18"/>
          <w:szCs w:val="18"/>
        </w:rPr>
        <w:t>d</w:t>
      </w:r>
      <w:r w:rsidR="003A4584">
        <w:rPr>
          <w:rFonts w:ascii="Segoe UI" w:hAnsi="Segoe UI" w:cs="Segoe UI"/>
          <w:sz w:val="18"/>
          <w:szCs w:val="18"/>
        </w:rPr>
        <w:t xml:space="preserve"> overall transparency in a standardi</w:t>
      </w:r>
      <w:r w:rsidR="001265B9">
        <w:rPr>
          <w:rFonts w:ascii="Segoe UI" w:hAnsi="Segoe UI" w:cs="Segoe UI"/>
          <w:sz w:val="18"/>
          <w:szCs w:val="18"/>
        </w:rPr>
        <w:t>s</w:t>
      </w:r>
      <w:r w:rsidR="003A4584">
        <w:rPr>
          <w:rFonts w:ascii="Segoe UI" w:hAnsi="Segoe UI" w:cs="Segoe UI"/>
          <w:sz w:val="18"/>
          <w:szCs w:val="18"/>
        </w:rPr>
        <w:t>ed manner within the</w:t>
      </w:r>
      <w:r w:rsidR="008B48A5">
        <w:rPr>
          <w:rFonts w:ascii="Segoe UI" w:hAnsi="Segoe UI" w:cs="Segoe UI"/>
          <w:sz w:val="18"/>
          <w:szCs w:val="18"/>
        </w:rPr>
        <w:t xml:space="preserve"> financial </w:t>
      </w:r>
      <w:proofErr w:type="gramStart"/>
      <w:r w:rsidR="008B48A5">
        <w:rPr>
          <w:rFonts w:ascii="Segoe UI" w:hAnsi="Segoe UI" w:cs="Segoe UI"/>
          <w:sz w:val="18"/>
          <w:szCs w:val="18"/>
        </w:rPr>
        <w:t>system</w:t>
      </w:r>
      <w:r w:rsidR="003425FD">
        <w:rPr>
          <w:rFonts w:ascii="Segoe UI" w:hAnsi="Segoe UI" w:cs="Segoe UI"/>
          <w:sz w:val="18"/>
          <w:szCs w:val="18"/>
        </w:rPr>
        <w:t>, and</w:t>
      </w:r>
      <w:proofErr w:type="gramEnd"/>
      <w:r w:rsidR="003425FD">
        <w:rPr>
          <w:rFonts w:ascii="Segoe UI" w:hAnsi="Segoe UI" w:cs="Segoe UI"/>
          <w:sz w:val="18"/>
          <w:szCs w:val="18"/>
        </w:rPr>
        <w:t xml:space="preserve"> could be improved by a number of additional reporting fields outlined </w:t>
      </w:r>
      <w:r w:rsidR="00A016D6">
        <w:rPr>
          <w:rFonts w:ascii="Segoe UI" w:hAnsi="Segoe UI" w:cs="Segoe UI"/>
          <w:sz w:val="18"/>
          <w:szCs w:val="18"/>
        </w:rPr>
        <w:t xml:space="preserve">in our answers </w:t>
      </w:r>
      <w:r w:rsidR="003425FD">
        <w:rPr>
          <w:rFonts w:ascii="Segoe UI" w:hAnsi="Segoe UI" w:cs="Segoe UI"/>
          <w:sz w:val="18"/>
          <w:szCs w:val="18"/>
        </w:rPr>
        <w:t>below</w:t>
      </w:r>
      <w:r w:rsidR="00A573F5">
        <w:rPr>
          <w:rFonts w:ascii="Segoe UI" w:hAnsi="Segoe UI" w:cs="Segoe UI"/>
          <w:sz w:val="18"/>
          <w:szCs w:val="18"/>
        </w:rPr>
        <w:t>.</w:t>
      </w:r>
    </w:p>
    <w:p w14:paraId="4D5966B6" w14:textId="36422024" w:rsidR="00A754F4" w:rsidRPr="00A754F4" w:rsidRDefault="0047048A" w:rsidP="00A754F4">
      <w:pPr>
        <w:pStyle w:val="paragraph"/>
        <w:textAlignment w:val="baseline"/>
        <w:rPr>
          <w:rFonts w:ascii="Segoe UI" w:hAnsi="Segoe UI" w:cs="Segoe UI"/>
          <w:sz w:val="18"/>
          <w:szCs w:val="18"/>
        </w:rPr>
      </w:pPr>
      <w:r>
        <w:rPr>
          <w:rFonts w:ascii="Segoe UI" w:hAnsi="Segoe UI" w:cs="Segoe UI"/>
          <w:sz w:val="18"/>
          <w:szCs w:val="18"/>
        </w:rPr>
        <w:t>The WFE agrees that it is important for market participants to properly prepare for potential liquidity needs, and to assist with this, it is important to consider</w:t>
      </w:r>
      <w:r w:rsidR="00381CF0">
        <w:rPr>
          <w:rFonts w:ascii="Segoe UI" w:hAnsi="Segoe UI" w:cs="Segoe UI"/>
          <w:sz w:val="18"/>
          <w:szCs w:val="18"/>
        </w:rPr>
        <w:t xml:space="preserve"> wh</w:t>
      </w:r>
      <w:r w:rsidR="004A2E0B">
        <w:rPr>
          <w:rFonts w:ascii="Segoe UI" w:hAnsi="Segoe UI" w:cs="Segoe UI"/>
          <w:sz w:val="18"/>
          <w:szCs w:val="18"/>
        </w:rPr>
        <w:t xml:space="preserve">ich outputs from this consultation </w:t>
      </w:r>
      <w:r w:rsidR="005A48C2">
        <w:rPr>
          <w:rFonts w:ascii="Segoe UI" w:hAnsi="Segoe UI" w:cs="Segoe UI"/>
          <w:sz w:val="18"/>
          <w:szCs w:val="18"/>
        </w:rPr>
        <w:t xml:space="preserve">will </w:t>
      </w:r>
      <w:r>
        <w:rPr>
          <w:rFonts w:ascii="Segoe UI" w:hAnsi="Segoe UI" w:cs="Segoe UI"/>
          <w:sz w:val="18"/>
          <w:szCs w:val="18"/>
        </w:rPr>
        <w:t>be effective tools to</w:t>
      </w:r>
      <w:r w:rsidR="005A48C2">
        <w:rPr>
          <w:rFonts w:ascii="Segoe UI" w:hAnsi="Segoe UI" w:cs="Segoe UI"/>
          <w:sz w:val="18"/>
          <w:szCs w:val="18"/>
        </w:rPr>
        <w:t xml:space="preserve"> assist with market participant</w:t>
      </w:r>
      <w:r w:rsidR="004A2E0B">
        <w:rPr>
          <w:rFonts w:ascii="Segoe UI" w:hAnsi="Segoe UI" w:cs="Segoe UI"/>
          <w:sz w:val="18"/>
          <w:szCs w:val="18"/>
        </w:rPr>
        <w:t xml:space="preserve"> preparedness</w:t>
      </w:r>
      <w:r w:rsidR="00D90C99">
        <w:rPr>
          <w:rFonts w:ascii="Segoe UI" w:hAnsi="Segoe UI" w:cs="Segoe UI"/>
          <w:sz w:val="18"/>
          <w:szCs w:val="18"/>
        </w:rPr>
        <w:t>.</w:t>
      </w:r>
      <w:r w:rsidR="002E5CAD">
        <w:rPr>
          <w:rFonts w:ascii="Segoe UI" w:hAnsi="Segoe UI" w:cs="Segoe UI"/>
          <w:sz w:val="18"/>
          <w:szCs w:val="18"/>
        </w:rPr>
        <w:t xml:space="preserve"> </w:t>
      </w:r>
      <w:r w:rsidR="00E64BF6">
        <w:rPr>
          <w:rFonts w:ascii="Segoe UI" w:hAnsi="Segoe UI" w:cs="Segoe UI"/>
          <w:sz w:val="18"/>
          <w:szCs w:val="18"/>
        </w:rPr>
        <w:t>The JWGM should</w:t>
      </w:r>
      <w:r w:rsidR="00E64BF6" w:rsidRPr="009E166A">
        <w:rPr>
          <w:rFonts w:ascii="Segoe UI" w:hAnsi="Segoe UI" w:cs="Segoe UI"/>
          <w:sz w:val="18"/>
          <w:szCs w:val="18"/>
        </w:rPr>
        <w:t xml:space="preserve"> ensure</w:t>
      </w:r>
      <w:r w:rsidR="00E64BF6">
        <w:rPr>
          <w:rFonts w:ascii="Segoe UI" w:hAnsi="Segoe UI" w:cs="Segoe UI"/>
          <w:sz w:val="18"/>
          <w:szCs w:val="18"/>
        </w:rPr>
        <w:t xml:space="preserve"> that</w:t>
      </w:r>
      <w:r w:rsidR="00E64BF6" w:rsidRPr="009E166A">
        <w:rPr>
          <w:rFonts w:ascii="Segoe UI" w:hAnsi="Segoe UI" w:cs="Segoe UI"/>
          <w:sz w:val="18"/>
          <w:szCs w:val="18"/>
        </w:rPr>
        <w:t xml:space="preserve"> </w:t>
      </w:r>
      <w:r w:rsidR="00E64BF6">
        <w:rPr>
          <w:rFonts w:ascii="Segoe UI" w:hAnsi="Segoe UI" w:cs="Segoe UI"/>
          <w:sz w:val="18"/>
          <w:szCs w:val="18"/>
        </w:rPr>
        <w:t>any chosen proposals are effective,</w:t>
      </w:r>
      <w:r w:rsidR="00E64BF6" w:rsidRPr="009E166A">
        <w:rPr>
          <w:rFonts w:ascii="Segoe UI" w:hAnsi="Segoe UI" w:cs="Segoe UI"/>
          <w:sz w:val="18"/>
          <w:szCs w:val="18"/>
        </w:rPr>
        <w:t xml:space="preserve"> </w:t>
      </w:r>
      <w:r w:rsidR="00E64BF6">
        <w:rPr>
          <w:rFonts w:ascii="Segoe UI" w:hAnsi="Segoe UI" w:cs="Segoe UI"/>
          <w:sz w:val="18"/>
          <w:szCs w:val="18"/>
        </w:rPr>
        <w:t xml:space="preserve">do not overburden </w:t>
      </w:r>
      <w:r w:rsidR="00B33FAE">
        <w:rPr>
          <w:rFonts w:ascii="Segoe UI" w:hAnsi="Segoe UI" w:cs="Segoe UI"/>
          <w:sz w:val="18"/>
          <w:szCs w:val="18"/>
        </w:rPr>
        <w:t>the industry</w:t>
      </w:r>
      <w:r w:rsidR="00E64BF6">
        <w:rPr>
          <w:rFonts w:ascii="Segoe UI" w:hAnsi="Segoe UI" w:cs="Segoe UI"/>
          <w:sz w:val="18"/>
          <w:szCs w:val="18"/>
        </w:rPr>
        <w:t>,</w:t>
      </w:r>
      <w:r w:rsidR="00E64BF6" w:rsidRPr="009E166A">
        <w:rPr>
          <w:rFonts w:ascii="Segoe UI" w:hAnsi="Segoe UI" w:cs="Segoe UI"/>
          <w:sz w:val="18"/>
          <w:szCs w:val="18"/>
        </w:rPr>
        <w:t xml:space="preserve"> and</w:t>
      </w:r>
      <w:r w:rsidR="00E64BF6">
        <w:rPr>
          <w:rFonts w:ascii="Segoe UI" w:hAnsi="Segoe UI" w:cs="Segoe UI"/>
          <w:sz w:val="18"/>
          <w:szCs w:val="18"/>
        </w:rPr>
        <w:t xml:space="preserve"> are</w:t>
      </w:r>
      <w:r w:rsidR="00E64BF6" w:rsidRPr="009E166A">
        <w:rPr>
          <w:rFonts w:ascii="Segoe UI" w:hAnsi="Segoe UI" w:cs="Segoe UI"/>
          <w:sz w:val="18"/>
          <w:szCs w:val="18"/>
        </w:rPr>
        <w:t xml:space="preserve"> appropriately </w:t>
      </w:r>
      <w:r w:rsidR="005F3F31">
        <w:rPr>
          <w:rFonts w:ascii="Segoe UI" w:hAnsi="Segoe UI" w:cs="Segoe UI"/>
          <w:sz w:val="18"/>
          <w:szCs w:val="18"/>
        </w:rPr>
        <w:t>coupled with disclosures</w:t>
      </w:r>
      <w:r w:rsidR="005F3F31" w:rsidRPr="009E166A">
        <w:rPr>
          <w:rFonts w:ascii="Segoe UI" w:hAnsi="Segoe UI" w:cs="Segoe UI"/>
          <w:sz w:val="18"/>
          <w:szCs w:val="18"/>
        </w:rPr>
        <w:t xml:space="preserve"> </w:t>
      </w:r>
      <w:r w:rsidR="00E64BF6" w:rsidRPr="009E166A">
        <w:rPr>
          <w:rFonts w:ascii="Segoe UI" w:hAnsi="Segoe UI" w:cs="Segoe UI"/>
          <w:sz w:val="18"/>
          <w:szCs w:val="18"/>
        </w:rPr>
        <w:t xml:space="preserve">in terms of what </w:t>
      </w:r>
      <w:r w:rsidR="00E64BF6">
        <w:rPr>
          <w:rFonts w:ascii="Segoe UI" w:hAnsi="Segoe UI" w:cs="Segoe UI"/>
          <w:sz w:val="18"/>
          <w:szCs w:val="18"/>
        </w:rPr>
        <w:t>they</w:t>
      </w:r>
      <w:r w:rsidR="00E64BF6" w:rsidRPr="009E166A">
        <w:rPr>
          <w:rFonts w:ascii="Segoe UI" w:hAnsi="Segoe UI" w:cs="Segoe UI"/>
          <w:sz w:val="18"/>
          <w:szCs w:val="18"/>
        </w:rPr>
        <w:t xml:space="preserve"> </w:t>
      </w:r>
      <w:r w:rsidR="005F3F31">
        <w:rPr>
          <w:rFonts w:ascii="Segoe UI" w:hAnsi="Segoe UI" w:cs="Segoe UI"/>
          <w:sz w:val="18"/>
          <w:szCs w:val="18"/>
        </w:rPr>
        <w:t>represent</w:t>
      </w:r>
      <w:r w:rsidR="00E64BF6">
        <w:rPr>
          <w:rFonts w:ascii="Segoe UI" w:hAnsi="Segoe UI" w:cs="Segoe UI"/>
          <w:sz w:val="18"/>
          <w:szCs w:val="18"/>
        </w:rPr>
        <w:t xml:space="preserve">. </w:t>
      </w:r>
      <w:r w:rsidR="002E5CAD">
        <w:rPr>
          <w:rFonts w:ascii="Segoe UI" w:hAnsi="Segoe UI" w:cs="Segoe UI"/>
          <w:sz w:val="18"/>
          <w:szCs w:val="18"/>
        </w:rPr>
        <w:t>For example,</w:t>
      </w:r>
      <w:r w:rsidR="00D90C99">
        <w:rPr>
          <w:rFonts w:ascii="Segoe UI" w:hAnsi="Segoe UI" w:cs="Segoe UI"/>
          <w:sz w:val="18"/>
          <w:szCs w:val="18"/>
        </w:rPr>
        <w:t xml:space="preserve"> </w:t>
      </w:r>
      <w:r w:rsidR="002E5CAD">
        <w:rPr>
          <w:rFonts w:ascii="Segoe UI" w:hAnsi="Segoe UI" w:cs="Segoe UI"/>
          <w:sz w:val="18"/>
          <w:szCs w:val="18"/>
        </w:rPr>
        <w:t>i</w:t>
      </w:r>
      <w:r w:rsidR="00D90C99">
        <w:rPr>
          <w:rFonts w:ascii="Segoe UI" w:hAnsi="Segoe UI" w:cs="Segoe UI"/>
          <w:sz w:val="18"/>
          <w:szCs w:val="18"/>
        </w:rPr>
        <w:t xml:space="preserve">f the JWGM proceeds with </w:t>
      </w:r>
      <w:r w:rsidR="0030392A">
        <w:rPr>
          <w:rFonts w:ascii="Segoe UI" w:hAnsi="Segoe UI" w:cs="Segoe UI"/>
          <w:sz w:val="18"/>
          <w:szCs w:val="18"/>
        </w:rPr>
        <w:t xml:space="preserve">the proposed metric of </w:t>
      </w:r>
      <w:r w:rsidR="000B581B">
        <w:rPr>
          <w:rFonts w:ascii="Segoe UI" w:hAnsi="Segoe UI" w:cs="Segoe UI"/>
          <w:sz w:val="18"/>
          <w:szCs w:val="18"/>
        </w:rPr>
        <w:t xml:space="preserve">initial margin </w:t>
      </w:r>
      <w:r w:rsidR="0030392A">
        <w:rPr>
          <w:rFonts w:ascii="Segoe UI" w:hAnsi="Segoe UI" w:cs="Segoe UI"/>
          <w:sz w:val="18"/>
          <w:szCs w:val="18"/>
        </w:rPr>
        <w:t xml:space="preserve">responsiveness, this will need to </w:t>
      </w:r>
      <w:r w:rsidR="003451B4">
        <w:rPr>
          <w:rFonts w:ascii="Segoe UI" w:hAnsi="Segoe UI" w:cs="Segoe UI"/>
          <w:sz w:val="18"/>
          <w:szCs w:val="18"/>
        </w:rPr>
        <w:t xml:space="preserve">be accompanied by sufficient </w:t>
      </w:r>
      <w:r w:rsidR="005F3F31">
        <w:rPr>
          <w:rFonts w:ascii="Segoe UI" w:hAnsi="Segoe UI" w:cs="Segoe UI"/>
          <w:sz w:val="18"/>
          <w:szCs w:val="18"/>
        </w:rPr>
        <w:t xml:space="preserve">disclosures </w:t>
      </w:r>
      <w:r w:rsidR="003451B4">
        <w:rPr>
          <w:rFonts w:ascii="Segoe UI" w:hAnsi="Segoe UI" w:cs="Segoe UI"/>
          <w:sz w:val="18"/>
          <w:szCs w:val="18"/>
        </w:rPr>
        <w:t xml:space="preserve">that the metric </w:t>
      </w:r>
      <w:r w:rsidR="005F3F31">
        <w:rPr>
          <w:rFonts w:ascii="Segoe UI" w:hAnsi="Segoe UI" w:cs="Segoe UI"/>
          <w:sz w:val="18"/>
          <w:szCs w:val="18"/>
        </w:rPr>
        <w:t>does not guarantee any response of a CCP’s margin model in</w:t>
      </w:r>
      <w:r w:rsidR="00295CFF" w:rsidRPr="00295CFF">
        <w:rPr>
          <w:rFonts w:ascii="Segoe UI" w:hAnsi="Segoe UI" w:cs="Segoe UI"/>
          <w:sz w:val="18"/>
          <w:szCs w:val="18"/>
        </w:rPr>
        <w:t xml:space="preserve"> the future.</w:t>
      </w:r>
      <w:r w:rsidR="00577841">
        <w:rPr>
          <w:rFonts w:ascii="Segoe UI" w:hAnsi="Segoe UI" w:cs="Segoe UI"/>
          <w:sz w:val="18"/>
          <w:szCs w:val="18"/>
        </w:rPr>
        <w:t xml:space="preserve"> </w:t>
      </w:r>
      <w:r w:rsidR="00A754F4">
        <w:rPr>
          <w:rFonts w:ascii="Segoe UI" w:hAnsi="Segoe UI" w:cs="Segoe UI"/>
          <w:sz w:val="18"/>
          <w:szCs w:val="18"/>
        </w:rPr>
        <w:br/>
      </w:r>
      <w:r w:rsidR="00A754F4">
        <w:rPr>
          <w:rFonts w:ascii="Segoe UI" w:hAnsi="Segoe UI" w:cs="Segoe UI"/>
          <w:sz w:val="18"/>
          <w:szCs w:val="18"/>
        </w:rPr>
        <w:br/>
      </w:r>
      <w:r w:rsidR="00A754F4">
        <w:rPr>
          <w:rStyle w:val="normaltextrun"/>
          <w:rFonts w:ascii="Calibri" w:hAnsi="Calibri" w:cs="Calibri"/>
          <w:color w:val="1F3864"/>
          <w:sz w:val="44"/>
          <w:szCs w:val="44"/>
        </w:rPr>
        <w:t xml:space="preserve">General Questions </w:t>
      </w:r>
    </w:p>
    <w:p w14:paraId="16411C1E" w14:textId="0CB0F07B" w:rsidR="00036674" w:rsidRPr="00C874E2" w:rsidRDefault="00036674" w:rsidP="001E7EC5">
      <w:pPr>
        <w:pStyle w:val="paragraph"/>
        <w:numPr>
          <w:ilvl w:val="0"/>
          <w:numId w:val="23"/>
        </w:numPr>
        <w:textAlignment w:val="baseline"/>
        <w:rPr>
          <w:rFonts w:ascii="Segoe UI" w:hAnsi="Segoe UI" w:cs="Segoe UI"/>
          <w:b/>
          <w:bCs/>
          <w:sz w:val="18"/>
          <w:szCs w:val="18"/>
        </w:rPr>
      </w:pPr>
      <w:r w:rsidRPr="00C874E2">
        <w:rPr>
          <w:rFonts w:ascii="Segoe UI" w:hAnsi="Segoe UI" w:cs="Segoe UI"/>
          <w:b/>
          <w:bCs/>
          <w:sz w:val="18"/>
          <w:szCs w:val="18"/>
        </w:rPr>
        <w:t>Collectively, if adopted, would the set of proposals likely result in increased transparency and a mitigation of destabilising changes in margin requirements in centrally cleared markets? Please identify within the set of proposals any which would be particularly beneficial and others which may be less beneficial (e</w:t>
      </w:r>
      <w:r w:rsidR="000341AD">
        <w:rPr>
          <w:rFonts w:ascii="Segoe UI" w:hAnsi="Segoe UI" w:cs="Segoe UI"/>
          <w:b/>
          <w:bCs/>
          <w:sz w:val="18"/>
          <w:szCs w:val="18"/>
        </w:rPr>
        <w:t>.</w:t>
      </w:r>
      <w:r w:rsidRPr="00C874E2">
        <w:rPr>
          <w:rFonts w:ascii="Segoe UI" w:hAnsi="Segoe UI" w:cs="Segoe UI"/>
          <w:b/>
          <w:bCs/>
          <w:sz w:val="18"/>
          <w:szCs w:val="18"/>
        </w:rPr>
        <w:t>g</w:t>
      </w:r>
      <w:r w:rsidR="000341AD">
        <w:rPr>
          <w:rFonts w:ascii="Segoe UI" w:hAnsi="Segoe UI" w:cs="Segoe UI"/>
          <w:b/>
          <w:bCs/>
          <w:sz w:val="18"/>
          <w:szCs w:val="18"/>
        </w:rPr>
        <w:t>.</w:t>
      </w:r>
      <w:r w:rsidRPr="00C874E2">
        <w:rPr>
          <w:rFonts w:ascii="Segoe UI" w:hAnsi="Segoe UI" w:cs="Segoe UI"/>
          <w:b/>
          <w:bCs/>
          <w:sz w:val="18"/>
          <w:szCs w:val="18"/>
        </w:rPr>
        <w:t xml:space="preserve"> where the costs may substantially exceed the benefits). Please provide an explanation to your answer.</w:t>
      </w:r>
      <w:r w:rsidR="00C874E2">
        <w:rPr>
          <w:rFonts w:ascii="Segoe UI" w:hAnsi="Segoe UI" w:cs="Segoe UI"/>
          <w:b/>
          <w:bCs/>
          <w:sz w:val="18"/>
          <w:szCs w:val="18"/>
        </w:rPr>
        <w:br/>
      </w:r>
      <w:r w:rsidR="00C874E2">
        <w:rPr>
          <w:rFonts w:ascii="Segoe UI" w:hAnsi="Segoe UI" w:cs="Segoe UI"/>
          <w:b/>
          <w:bCs/>
          <w:sz w:val="18"/>
          <w:szCs w:val="18"/>
        </w:rPr>
        <w:br/>
      </w:r>
      <w:r w:rsidR="00EA0085" w:rsidRPr="00EA0085">
        <w:rPr>
          <w:rFonts w:ascii="Segoe UI" w:hAnsi="Segoe UI" w:cs="Segoe UI"/>
          <w:sz w:val="18"/>
          <w:szCs w:val="18"/>
        </w:rPr>
        <w:t xml:space="preserve">CCPs </w:t>
      </w:r>
      <w:r w:rsidR="000B327B">
        <w:rPr>
          <w:rFonts w:ascii="Segoe UI" w:hAnsi="Segoe UI" w:cs="Segoe UI"/>
          <w:sz w:val="18"/>
          <w:szCs w:val="18"/>
        </w:rPr>
        <w:t xml:space="preserve">already undertake </w:t>
      </w:r>
      <w:r w:rsidR="005F3F31">
        <w:rPr>
          <w:rFonts w:ascii="Segoe UI" w:hAnsi="Segoe UI" w:cs="Segoe UI"/>
          <w:sz w:val="18"/>
          <w:szCs w:val="18"/>
        </w:rPr>
        <w:t xml:space="preserve">effective </w:t>
      </w:r>
      <w:r w:rsidR="000B327B">
        <w:rPr>
          <w:rFonts w:ascii="Segoe UI" w:hAnsi="Segoe UI" w:cs="Segoe UI"/>
          <w:sz w:val="18"/>
          <w:szCs w:val="18"/>
        </w:rPr>
        <w:t xml:space="preserve">anti-procyclicality </w:t>
      </w:r>
      <w:r w:rsidR="00A573F5">
        <w:rPr>
          <w:rFonts w:ascii="Segoe UI" w:hAnsi="Segoe UI" w:cs="Segoe UI"/>
          <w:sz w:val="18"/>
          <w:szCs w:val="18"/>
        </w:rPr>
        <w:t>measures and</w:t>
      </w:r>
      <w:r w:rsidR="000B327B">
        <w:rPr>
          <w:rFonts w:ascii="Segoe UI" w:hAnsi="Segoe UI" w:cs="Segoe UI"/>
          <w:sz w:val="18"/>
          <w:szCs w:val="18"/>
        </w:rPr>
        <w:t xml:space="preserve"> </w:t>
      </w:r>
      <w:r w:rsidR="00EA0085" w:rsidRPr="00EA0085">
        <w:rPr>
          <w:rFonts w:ascii="Segoe UI" w:hAnsi="Segoe UI" w:cs="Segoe UI"/>
          <w:sz w:val="18"/>
          <w:szCs w:val="18"/>
        </w:rPr>
        <w:t>provide a high level of transparency</w:t>
      </w:r>
      <w:r w:rsidR="00A218E5">
        <w:rPr>
          <w:rFonts w:ascii="Segoe UI" w:hAnsi="Segoe UI" w:cs="Segoe UI"/>
          <w:sz w:val="18"/>
          <w:szCs w:val="18"/>
        </w:rPr>
        <w:t xml:space="preserve"> via </w:t>
      </w:r>
      <w:r w:rsidR="00EA0085" w:rsidRPr="00EA0085">
        <w:rPr>
          <w:rFonts w:ascii="Segoe UI" w:hAnsi="Segoe UI" w:cs="Segoe UI"/>
          <w:sz w:val="18"/>
          <w:szCs w:val="18"/>
        </w:rPr>
        <w:t xml:space="preserve">quarterly PQDs, </w:t>
      </w:r>
      <w:r w:rsidR="006D5E12" w:rsidRPr="006D5E12">
        <w:rPr>
          <w:rFonts w:ascii="Segoe UI" w:hAnsi="Segoe UI" w:cs="Segoe UI"/>
          <w:sz w:val="18"/>
          <w:szCs w:val="18"/>
        </w:rPr>
        <w:t>risk policy and framework documentation</w:t>
      </w:r>
      <w:r w:rsidR="006D5E12">
        <w:rPr>
          <w:rFonts w:ascii="Segoe UI" w:hAnsi="Segoe UI" w:cs="Segoe UI"/>
          <w:sz w:val="18"/>
          <w:szCs w:val="18"/>
        </w:rPr>
        <w:t xml:space="preserve">, </w:t>
      </w:r>
      <w:r w:rsidR="00EA0085" w:rsidRPr="00EA0085">
        <w:rPr>
          <w:rFonts w:ascii="Segoe UI" w:hAnsi="Segoe UI" w:cs="Segoe UI"/>
          <w:sz w:val="18"/>
          <w:szCs w:val="18"/>
        </w:rPr>
        <w:t>descriptions of the margin calculation methodolog</w:t>
      </w:r>
      <w:r w:rsidR="005F3F31">
        <w:rPr>
          <w:rFonts w:ascii="Segoe UI" w:hAnsi="Segoe UI" w:cs="Segoe UI"/>
          <w:sz w:val="18"/>
          <w:szCs w:val="18"/>
        </w:rPr>
        <w:t>ies</w:t>
      </w:r>
      <w:r w:rsidR="00EA0085" w:rsidRPr="00EA0085">
        <w:rPr>
          <w:rFonts w:ascii="Segoe UI" w:hAnsi="Segoe UI" w:cs="Segoe UI"/>
          <w:sz w:val="18"/>
          <w:szCs w:val="18"/>
        </w:rPr>
        <w:t xml:space="preserve">, regular margin reports to </w:t>
      </w:r>
      <w:r w:rsidR="00024CA6">
        <w:rPr>
          <w:rFonts w:ascii="Segoe UI" w:hAnsi="Segoe UI" w:cs="Segoe UI"/>
          <w:sz w:val="18"/>
          <w:szCs w:val="18"/>
        </w:rPr>
        <w:t>CMs</w:t>
      </w:r>
      <w:r w:rsidR="00EA0085" w:rsidRPr="00EA0085">
        <w:rPr>
          <w:rFonts w:ascii="Segoe UI" w:hAnsi="Segoe UI" w:cs="Segoe UI"/>
          <w:sz w:val="18"/>
          <w:szCs w:val="18"/>
        </w:rPr>
        <w:t xml:space="preserve"> and clients, margin </w:t>
      </w:r>
      <w:r w:rsidR="005F3F31">
        <w:rPr>
          <w:rFonts w:ascii="Segoe UI" w:hAnsi="Segoe UI" w:cs="Segoe UI"/>
          <w:sz w:val="18"/>
          <w:szCs w:val="18"/>
        </w:rPr>
        <w:t>simulators</w:t>
      </w:r>
      <w:r w:rsidR="00EA0085" w:rsidRPr="00EA0085">
        <w:rPr>
          <w:rFonts w:ascii="Segoe UI" w:hAnsi="Segoe UI" w:cs="Segoe UI"/>
          <w:sz w:val="18"/>
          <w:szCs w:val="18"/>
        </w:rPr>
        <w:t>, and back-testing results.</w:t>
      </w:r>
      <w:r w:rsidR="00D207A3">
        <w:rPr>
          <w:rFonts w:ascii="Segoe UI" w:hAnsi="Segoe UI" w:cs="Segoe UI"/>
          <w:sz w:val="18"/>
          <w:szCs w:val="18"/>
        </w:rPr>
        <w:t xml:space="preserve"> </w:t>
      </w:r>
      <w:r w:rsidR="003A4584">
        <w:rPr>
          <w:rFonts w:ascii="Segoe UI" w:hAnsi="Segoe UI" w:cs="Segoe UI"/>
          <w:sz w:val="18"/>
          <w:szCs w:val="18"/>
        </w:rPr>
        <w:t xml:space="preserve">Given this, we question the overall </w:t>
      </w:r>
      <w:r w:rsidR="006C5304">
        <w:rPr>
          <w:rFonts w:ascii="Segoe UI" w:hAnsi="Segoe UI" w:cs="Segoe UI"/>
          <w:sz w:val="18"/>
          <w:szCs w:val="18"/>
        </w:rPr>
        <w:t>focus on</w:t>
      </w:r>
      <w:r w:rsidR="003A4584">
        <w:rPr>
          <w:rFonts w:ascii="Segoe UI" w:hAnsi="Segoe UI" w:cs="Segoe UI"/>
          <w:sz w:val="18"/>
          <w:szCs w:val="18"/>
        </w:rPr>
        <w:t xml:space="preserve"> subjecting CCPs to additional disclosure requirements. Notwithstanding this, if certain of the policy proposals move forward, we</w:t>
      </w:r>
      <w:r w:rsidR="003578C6" w:rsidRPr="004C1443">
        <w:rPr>
          <w:rFonts w:ascii="Segoe UI" w:hAnsi="Segoe UI" w:cs="Segoe UI"/>
          <w:sz w:val="18"/>
          <w:szCs w:val="18"/>
        </w:rPr>
        <w:t xml:space="preserve"> caution that </w:t>
      </w:r>
      <w:r w:rsidR="003A4584">
        <w:rPr>
          <w:rFonts w:ascii="Segoe UI" w:hAnsi="Segoe UI" w:cs="Segoe UI"/>
          <w:sz w:val="18"/>
          <w:szCs w:val="18"/>
        </w:rPr>
        <w:t xml:space="preserve">certain </w:t>
      </w:r>
      <w:r w:rsidR="003578C6" w:rsidRPr="004C1443">
        <w:rPr>
          <w:rFonts w:ascii="Segoe UI" w:hAnsi="Segoe UI" w:cs="Segoe UI"/>
          <w:sz w:val="18"/>
          <w:szCs w:val="18"/>
        </w:rPr>
        <w:t xml:space="preserve">proposed additional disclosures need to be accompanied by the appropriate context and supporting information (quantitative and qualitative) to ensure understanding and avoid misinterpretation of the information by market participants, otherwise it may not benefit market participants in predicting and managing their liquidity needs. </w:t>
      </w:r>
      <w:r w:rsidR="00F44D40">
        <w:rPr>
          <w:rFonts w:ascii="Segoe UI" w:hAnsi="Segoe UI" w:cs="Segoe UI"/>
          <w:sz w:val="18"/>
          <w:szCs w:val="18"/>
        </w:rPr>
        <w:br/>
      </w:r>
      <w:r w:rsidR="0062775D">
        <w:rPr>
          <w:rFonts w:ascii="Segoe UI" w:hAnsi="Segoe UI" w:cs="Segoe UI"/>
          <w:sz w:val="18"/>
          <w:szCs w:val="18"/>
        </w:rPr>
        <w:br/>
      </w:r>
      <w:r w:rsidR="00270C48">
        <w:rPr>
          <w:rFonts w:ascii="Segoe UI" w:hAnsi="Segoe UI" w:cs="Segoe UI"/>
          <w:sz w:val="18"/>
          <w:szCs w:val="18"/>
        </w:rPr>
        <w:t>This is particularly true with</w:t>
      </w:r>
      <w:r w:rsidR="006C4D1E">
        <w:rPr>
          <w:rFonts w:ascii="Segoe UI" w:hAnsi="Segoe UI" w:cs="Segoe UI"/>
          <w:sz w:val="18"/>
          <w:szCs w:val="18"/>
        </w:rPr>
        <w:t xml:space="preserve"> </w:t>
      </w:r>
      <w:r w:rsidR="002D29DA">
        <w:rPr>
          <w:rFonts w:ascii="Segoe UI" w:hAnsi="Segoe UI" w:cs="Segoe UI"/>
          <w:sz w:val="18"/>
          <w:szCs w:val="18"/>
        </w:rPr>
        <w:t>elements</w:t>
      </w:r>
      <w:r w:rsidR="006C4D1E">
        <w:rPr>
          <w:rFonts w:ascii="Segoe UI" w:hAnsi="Segoe UI" w:cs="Segoe UI"/>
          <w:sz w:val="18"/>
          <w:szCs w:val="18"/>
        </w:rPr>
        <w:t xml:space="preserve"> relating to the provision of </w:t>
      </w:r>
      <w:r w:rsidR="006C4D1E" w:rsidRPr="006C4D1E">
        <w:rPr>
          <w:rFonts w:ascii="Segoe UI" w:hAnsi="Segoe UI" w:cs="Segoe UI"/>
          <w:sz w:val="18"/>
          <w:szCs w:val="18"/>
        </w:rPr>
        <w:t>margin simulators, aspects of the margin responsiveness measure, and additional frequency for PQD-related disclosures</w:t>
      </w:r>
      <w:r w:rsidR="00270C48">
        <w:rPr>
          <w:rFonts w:ascii="Segoe UI" w:hAnsi="Segoe UI" w:cs="Segoe UI"/>
          <w:sz w:val="18"/>
          <w:szCs w:val="18"/>
        </w:rPr>
        <w:t xml:space="preserve">. However, </w:t>
      </w:r>
      <w:r w:rsidR="00270C48" w:rsidRPr="004C1443">
        <w:rPr>
          <w:rFonts w:ascii="Segoe UI" w:hAnsi="Segoe UI" w:cs="Segoe UI"/>
          <w:sz w:val="18"/>
          <w:szCs w:val="18"/>
        </w:rPr>
        <w:t xml:space="preserve">Proposal 9 and 10 are particularly beneficial as they will improve clients’ understanding of their </w:t>
      </w:r>
      <w:r w:rsidR="00024CA6">
        <w:rPr>
          <w:rFonts w:ascii="Segoe UI" w:hAnsi="Segoe UI" w:cs="Segoe UI"/>
          <w:sz w:val="18"/>
          <w:szCs w:val="18"/>
        </w:rPr>
        <w:t>CM’s</w:t>
      </w:r>
      <w:r w:rsidR="00270C48" w:rsidRPr="004C1443">
        <w:rPr>
          <w:rFonts w:ascii="Segoe UI" w:hAnsi="Segoe UI" w:cs="Segoe UI"/>
          <w:sz w:val="18"/>
          <w:szCs w:val="18"/>
        </w:rPr>
        <w:t xml:space="preserve"> margin requirements and add-o</w:t>
      </w:r>
      <w:r w:rsidR="00270C48" w:rsidRPr="00442F4E">
        <w:rPr>
          <w:rFonts w:ascii="Segoe UI" w:hAnsi="Segoe UI" w:cs="Segoe UI"/>
          <w:sz w:val="18"/>
          <w:szCs w:val="18"/>
        </w:rPr>
        <w:t>ns</w:t>
      </w:r>
      <w:r w:rsidR="00270C48" w:rsidRPr="004C1443">
        <w:rPr>
          <w:rFonts w:ascii="Segoe UI" w:hAnsi="Segoe UI" w:cs="Segoe UI"/>
          <w:sz w:val="18"/>
          <w:szCs w:val="18"/>
        </w:rPr>
        <w:t xml:space="preserve"> thereby enhancing </w:t>
      </w:r>
      <w:r w:rsidR="003A4584">
        <w:rPr>
          <w:rFonts w:ascii="Segoe UI" w:hAnsi="Segoe UI" w:cs="Segoe UI"/>
          <w:sz w:val="18"/>
          <w:szCs w:val="18"/>
        </w:rPr>
        <w:t xml:space="preserve">overall </w:t>
      </w:r>
      <w:r w:rsidR="003A4584">
        <w:rPr>
          <w:rFonts w:ascii="Segoe UI" w:hAnsi="Segoe UI" w:cs="Segoe UI"/>
          <w:sz w:val="18"/>
          <w:szCs w:val="18"/>
        </w:rPr>
        <w:lastRenderedPageBreak/>
        <w:t>transparency across</w:t>
      </w:r>
      <w:r w:rsidR="00270C48" w:rsidRPr="004C1443">
        <w:rPr>
          <w:rFonts w:ascii="Segoe UI" w:hAnsi="Segoe UI" w:cs="Segoe UI"/>
          <w:sz w:val="18"/>
          <w:szCs w:val="18"/>
        </w:rPr>
        <w:t xml:space="preserve"> stakeholders (CCPs, CMs and clients</w:t>
      </w:r>
      <w:r w:rsidR="003A4584">
        <w:rPr>
          <w:rFonts w:ascii="Segoe UI" w:hAnsi="Segoe UI" w:cs="Segoe UI"/>
          <w:sz w:val="18"/>
          <w:szCs w:val="18"/>
        </w:rPr>
        <w:t>)</w:t>
      </w:r>
      <w:r w:rsidR="00270C48">
        <w:rPr>
          <w:rFonts w:ascii="Segoe UI" w:hAnsi="Segoe UI" w:cs="Segoe UI"/>
          <w:sz w:val="18"/>
          <w:szCs w:val="18"/>
        </w:rPr>
        <w:t>.</w:t>
      </w:r>
      <w:r w:rsidR="00231C6F" w:rsidRPr="00C874E2">
        <w:rPr>
          <w:rFonts w:ascii="Segoe UI" w:hAnsi="Segoe UI" w:cs="Segoe UI"/>
          <w:b/>
          <w:bCs/>
          <w:sz w:val="18"/>
          <w:szCs w:val="18"/>
        </w:rPr>
        <w:br/>
      </w:r>
    </w:p>
    <w:p w14:paraId="741DACAA" w14:textId="1BA6E434" w:rsidR="00036674" w:rsidRPr="00C874E2" w:rsidRDefault="00036674" w:rsidP="001E7EC5">
      <w:pPr>
        <w:pStyle w:val="paragraph"/>
        <w:numPr>
          <w:ilvl w:val="0"/>
          <w:numId w:val="23"/>
        </w:numPr>
        <w:textAlignment w:val="baseline"/>
        <w:rPr>
          <w:rFonts w:ascii="Segoe UI" w:hAnsi="Segoe UI" w:cs="Segoe UI"/>
          <w:b/>
          <w:bCs/>
          <w:sz w:val="18"/>
          <w:szCs w:val="18"/>
        </w:rPr>
      </w:pPr>
      <w:r w:rsidRPr="00C874E2">
        <w:rPr>
          <w:rFonts w:ascii="Segoe UI" w:hAnsi="Segoe UI" w:cs="Segoe UI"/>
          <w:b/>
          <w:bCs/>
          <w:sz w:val="18"/>
          <w:szCs w:val="18"/>
        </w:rPr>
        <w:t xml:space="preserve">Are there any aspects of margining practices in centrally cleared markets that have not been adequately covered by the set of proposals and which could positively contribute to achieving the Margin Group’s objectives? </w:t>
      </w:r>
      <w:r w:rsidR="00FD59DF">
        <w:rPr>
          <w:rFonts w:ascii="Segoe UI" w:hAnsi="Segoe UI" w:cs="Segoe UI"/>
          <w:b/>
          <w:bCs/>
          <w:sz w:val="18"/>
          <w:szCs w:val="18"/>
        </w:rPr>
        <w:br/>
      </w:r>
      <w:r w:rsidR="00FD59DF">
        <w:rPr>
          <w:rFonts w:ascii="Segoe UI" w:hAnsi="Segoe UI" w:cs="Segoe UI"/>
          <w:b/>
          <w:bCs/>
          <w:sz w:val="18"/>
          <w:szCs w:val="18"/>
        </w:rPr>
        <w:br/>
      </w:r>
      <w:r w:rsidR="001834B5">
        <w:rPr>
          <w:rFonts w:ascii="Segoe UI" w:hAnsi="Segoe UI" w:cs="Segoe UI"/>
          <w:sz w:val="18"/>
          <w:szCs w:val="18"/>
        </w:rPr>
        <w:t>Please see below for further details.</w:t>
      </w:r>
      <w:r w:rsidR="00231C6F" w:rsidRPr="00C874E2">
        <w:rPr>
          <w:rFonts w:ascii="Segoe UI" w:hAnsi="Segoe UI" w:cs="Segoe UI"/>
          <w:b/>
          <w:bCs/>
          <w:sz w:val="18"/>
          <w:szCs w:val="18"/>
        </w:rPr>
        <w:br/>
      </w:r>
    </w:p>
    <w:p w14:paraId="7F7A1EFB" w14:textId="5F069A23" w:rsidR="007868EF" w:rsidRPr="007868EF" w:rsidRDefault="00036674" w:rsidP="007868EF">
      <w:pPr>
        <w:pStyle w:val="paragraph"/>
        <w:numPr>
          <w:ilvl w:val="0"/>
          <w:numId w:val="23"/>
        </w:numPr>
        <w:textAlignment w:val="baseline"/>
        <w:rPr>
          <w:rFonts w:ascii="Segoe UI" w:hAnsi="Segoe UI" w:cs="Segoe UI"/>
          <w:b/>
          <w:bCs/>
          <w:sz w:val="18"/>
          <w:szCs w:val="18"/>
        </w:rPr>
      </w:pPr>
      <w:r w:rsidRPr="00C874E2">
        <w:rPr>
          <w:rFonts w:ascii="Segoe UI" w:hAnsi="Segoe UI" w:cs="Segoe UI"/>
          <w:b/>
          <w:bCs/>
          <w:sz w:val="18"/>
          <w:szCs w:val="18"/>
        </w:rPr>
        <w:t>Many of the proposals recommend that a market participant group (</w:t>
      </w:r>
      <w:proofErr w:type="spellStart"/>
      <w:r w:rsidRPr="00C874E2">
        <w:rPr>
          <w:rFonts w:ascii="Segoe UI" w:hAnsi="Segoe UI" w:cs="Segoe UI"/>
          <w:b/>
          <w:bCs/>
          <w:sz w:val="18"/>
          <w:szCs w:val="18"/>
        </w:rPr>
        <w:t>eg</w:t>
      </w:r>
      <w:proofErr w:type="spellEnd"/>
      <w:r w:rsidRPr="00C874E2">
        <w:rPr>
          <w:rFonts w:ascii="Segoe UI" w:hAnsi="Segoe UI" w:cs="Segoe UI"/>
          <w:b/>
          <w:bCs/>
          <w:sz w:val="18"/>
          <w:szCs w:val="18"/>
        </w:rPr>
        <w:t xml:space="preserve"> all CCPs, all CMs etc) be required to provide enhanced disclosure or adopt a new practice. Should the principle of proportionality, with requirements dependent on participant size or type, be used in determining how different firms apply the proposals? If so, in what ways? Please specify the proposal(s) in your response.</w:t>
      </w:r>
      <w:r w:rsidR="00A754F4">
        <w:rPr>
          <w:rFonts w:ascii="Segoe UI" w:hAnsi="Segoe UI" w:cs="Segoe UI"/>
          <w:b/>
          <w:bCs/>
          <w:sz w:val="18"/>
          <w:szCs w:val="18"/>
        </w:rPr>
        <w:br/>
      </w:r>
      <w:r w:rsidR="00FD59DF">
        <w:rPr>
          <w:rFonts w:ascii="Segoe UI" w:hAnsi="Segoe UI" w:cs="Segoe UI"/>
          <w:b/>
          <w:bCs/>
          <w:sz w:val="18"/>
          <w:szCs w:val="18"/>
        </w:rPr>
        <w:br/>
      </w:r>
      <w:r w:rsidR="008D2C4D">
        <w:rPr>
          <w:rFonts w:ascii="Segoe UI" w:hAnsi="Segoe UI" w:cs="Segoe UI"/>
          <w:sz w:val="18"/>
          <w:szCs w:val="18"/>
        </w:rPr>
        <w:t>T</w:t>
      </w:r>
      <w:r w:rsidR="008D2C4D" w:rsidRPr="008D2C4D">
        <w:rPr>
          <w:rFonts w:ascii="Segoe UI" w:hAnsi="Segoe UI" w:cs="Segoe UI"/>
          <w:sz w:val="18"/>
          <w:szCs w:val="18"/>
        </w:rPr>
        <w:t xml:space="preserve">he consideration of proportionality in regulatory requirements </w:t>
      </w:r>
      <w:r w:rsidR="006C5304">
        <w:rPr>
          <w:rFonts w:ascii="Segoe UI" w:hAnsi="Segoe UI" w:cs="Segoe UI"/>
          <w:sz w:val="18"/>
          <w:szCs w:val="18"/>
        </w:rPr>
        <w:t xml:space="preserve">for CCPs </w:t>
      </w:r>
      <w:r w:rsidR="008D2C4D" w:rsidRPr="008D2C4D">
        <w:rPr>
          <w:rFonts w:ascii="Segoe UI" w:hAnsi="Segoe UI" w:cs="Segoe UI"/>
          <w:sz w:val="18"/>
          <w:szCs w:val="18"/>
        </w:rPr>
        <w:t xml:space="preserve">is important when proposing enhanced disclosures or new practices. Consideration should be given </w:t>
      </w:r>
      <w:proofErr w:type="gramStart"/>
      <w:r w:rsidR="00F83271">
        <w:rPr>
          <w:rFonts w:ascii="Segoe UI" w:hAnsi="Segoe UI" w:cs="Segoe UI"/>
          <w:sz w:val="18"/>
          <w:szCs w:val="18"/>
        </w:rPr>
        <w:t xml:space="preserve">in particular </w:t>
      </w:r>
      <w:r w:rsidR="008D2C4D" w:rsidRPr="008D2C4D">
        <w:rPr>
          <w:rFonts w:ascii="Segoe UI" w:hAnsi="Segoe UI" w:cs="Segoe UI"/>
          <w:sz w:val="18"/>
          <w:szCs w:val="18"/>
        </w:rPr>
        <w:t>to</w:t>
      </w:r>
      <w:proofErr w:type="gramEnd"/>
      <w:r w:rsidR="008D2C4D" w:rsidRPr="008D2C4D">
        <w:rPr>
          <w:rFonts w:ascii="Segoe UI" w:hAnsi="Segoe UI" w:cs="Segoe UI"/>
          <w:sz w:val="18"/>
          <w:szCs w:val="18"/>
        </w:rPr>
        <w:t xml:space="preserve"> the cost vs. benefit of adopting enhanced disclosures or new practices</w:t>
      </w:r>
      <w:r w:rsidR="006C5304">
        <w:rPr>
          <w:rFonts w:ascii="Segoe UI" w:hAnsi="Segoe UI" w:cs="Segoe UI"/>
          <w:sz w:val="18"/>
          <w:szCs w:val="18"/>
        </w:rPr>
        <w:t xml:space="preserve"> for CCPs</w:t>
      </w:r>
      <w:r w:rsidR="008D2C4D" w:rsidRPr="008D2C4D">
        <w:rPr>
          <w:rFonts w:ascii="Segoe UI" w:hAnsi="Segoe UI" w:cs="Segoe UI"/>
          <w:sz w:val="18"/>
          <w:szCs w:val="18"/>
        </w:rPr>
        <w:t xml:space="preserve">. The complexities and resource requirements involved in building simulators are significant and some CCPs may find it </w:t>
      </w:r>
      <w:r w:rsidR="00442F4E">
        <w:rPr>
          <w:rFonts w:ascii="Segoe UI" w:hAnsi="Segoe UI" w:cs="Segoe UI"/>
          <w:sz w:val="18"/>
          <w:szCs w:val="18"/>
        </w:rPr>
        <w:t>time-consuming</w:t>
      </w:r>
      <w:r w:rsidR="008D2C4D" w:rsidRPr="008D2C4D">
        <w:rPr>
          <w:rFonts w:ascii="Segoe UI" w:hAnsi="Segoe UI" w:cs="Segoe UI"/>
          <w:sz w:val="18"/>
          <w:szCs w:val="18"/>
        </w:rPr>
        <w:t xml:space="preserve"> and expensive to build sophisticated simulators catering for all asset classes and products.</w:t>
      </w:r>
      <w:r w:rsidR="008D2C4D">
        <w:rPr>
          <w:rFonts w:ascii="Segoe UI" w:hAnsi="Segoe UI" w:cs="Segoe UI"/>
          <w:sz w:val="18"/>
          <w:szCs w:val="18"/>
        </w:rPr>
        <w:t xml:space="preserve"> </w:t>
      </w:r>
      <w:r w:rsidR="000C6481">
        <w:rPr>
          <w:rFonts w:ascii="Segoe UI" w:hAnsi="Segoe UI" w:cs="Segoe UI"/>
          <w:sz w:val="18"/>
          <w:szCs w:val="18"/>
        </w:rPr>
        <w:t>Please see below for further details.</w:t>
      </w:r>
      <w:r w:rsidR="007868EF">
        <w:rPr>
          <w:rFonts w:ascii="Segoe UI" w:hAnsi="Segoe UI" w:cs="Segoe UI"/>
          <w:b/>
          <w:bCs/>
          <w:sz w:val="18"/>
          <w:szCs w:val="18"/>
        </w:rPr>
        <w:br/>
      </w:r>
    </w:p>
    <w:p w14:paraId="1013051E" w14:textId="583DC60C" w:rsidR="00153BD7" w:rsidRPr="00C874E2" w:rsidRDefault="00153BD7" w:rsidP="001E7EC5">
      <w:pPr>
        <w:pStyle w:val="paragraph"/>
        <w:numPr>
          <w:ilvl w:val="0"/>
          <w:numId w:val="23"/>
        </w:numPr>
        <w:textAlignment w:val="baseline"/>
        <w:rPr>
          <w:rFonts w:ascii="Segoe UI" w:hAnsi="Segoe UI" w:cs="Segoe UI"/>
          <w:b/>
          <w:bCs/>
          <w:sz w:val="18"/>
          <w:szCs w:val="18"/>
        </w:rPr>
      </w:pPr>
      <w:r w:rsidRPr="00C874E2">
        <w:rPr>
          <w:rFonts w:ascii="Segoe UI" w:hAnsi="Segoe UI" w:cs="Segoe UI"/>
          <w:b/>
          <w:bCs/>
          <w:sz w:val="18"/>
          <w:szCs w:val="18"/>
        </w:rPr>
        <w:t>Are there cases in the proposals where there could be an effect on bilateral market margining? If so, what are the factors or instances that should be taken into consideration to ensure that proposals for cleared markets do not negatively affect dynamics within other markets?</w:t>
      </w:r>
      <w:r w:rsidR="00FD59DF">
        <w:rPr>
          <w:rFonts w:ascii="Segoe UI" w:hAnsi="Segoe UI" w:cs="Segoe UI"/>
          <w:b/>
          <w:bCs/>
          <w:sz w:val="18"/>
          <w:szCs w:val="18"/>
        </w:rPr>
        <w:br/>
      </w:r>
      <w:r w:rsidR="00FD59DF">
        <w:rPr>
          <w:rFonts w:ascii="Segoe UI" w:hAnsi="Segoe UI" w:cs="Segoe UI"/>
          <w:b/>
          <w:bCs/>
          <w:sz w:val="18"/>
          <w:szCs w:val="18"/>
        </w:rPr>
        <w:br/>
      </w:r>
      <w:r w:rsidR="008F570E" w:rsidRPr="008F570E">
        <w:rPr>
          <w:rFonts w:ascii="Segoe UI" w:hAnsi="Segoe UI" w:cs="Segoe UI"/>
          <w:sz w:val="18"/>
          <w:szCs w:val="18"/>
        </w:rPr>
        <w:t xml:space="preserve">The WFE generally supports </w:t>
      </w:r>
      <w:r w:rsidR="006C5304">
        <w:rPr>
          <w:rFonts w:ascii="Segoe UI" w:hAnsi="Segoe UI" w:cs="Segoe UI"/>
          <w:sz w:val="18"/>
          <w:szCs w:val="18"/>
        </w:rPr>
        <w:t>the continued</w:t>
      </w:r>
      <w:r w:rsidR="008F570E" w:rsidRPr="008F570E">
        <w:rPr>
          <w:rFonts w:ascii="Segoe UI" w:hAnsi="Segoe UI" w:cs="Segoe UI"/>
          <w:sz w:val="18"/>
          <w:szCs w:val="18"/>
        </w:rPr>
        <w:t xml:space="preserve"> transparency of margining practices. However, new transparency requirements limited to centrally cleared markets could further widen the transparency gap vis-à-vis non-centrally cleared markets. Strengthening the resilience of financial markets </w:t>
      </w:r>
      <w:proofErr w:type="gramStart"/>
      <w:r w:rsidR="00F83271">
        <w:rPr>
          <w:rFonts w:ascii="Segoe UI" w:hAnsi="Segoe UI" w:cs="Segoe UI"/>
          <w:sz w:val="18"/>
          <w:szCs w:val="18"/>
        </w:rPr>
        <w:t xml:space="preserve">as a whole </w:t>
      </w:r>
      <w:r w:rsidR="008F570E" w:rsidRPr="008F570E">
        <w:rPr>
          <w:rFonts w:ascii="Segoe UI" w:hAnsi="Segoe UI" w:cs="Segoe UI"/>
          <w:sz w:val="18"/>
          <w:szCs w:val="18"/>
        </w:rPr>
        <w:t>should</w:t>
      </w:r>
      <w:proofErr w:type="gramEnd"/>
      <w:r w:rsidR="008F570E" w:rsidRPr="008F570E">
        <w:rPr>
          <w:rFonts w:ascii="Segoe UI" w:hAnsi="Segoe UI" w:cs="Segoe UI"/>
          <w:sz w:val="18"/>
          <w:szCs w:val="18"/>
        </w:rPr>
        <w:t xml:space="preserve"> remain the overarching goal. Hence, </w:t>
      </w:r>
      <w:r w:rsidR="00AF003E">
        <w:rPr>
          <w:rFonts w:ascii="Segoe UI" w:hAnsi="Segoe UI" w:cs="Segoe UI"/>
          <w:sz w:val="18"/>
          <w:szCs w:val="18"/>
        </w:rPr>
        <w:t xml:space="preserve">WFE wants to emphasize the need for further transparency from uncleared markets. </w:t>
      </w:r>
    </w:p>
    <w:p w14:paraId="44B817FB" w14:textId="59D04A78" w:rsidR="00153BD7" w:rsidRPr="00C874E2" w:rsidRDefault="00A754F4" w:rsidP="00AA2492">
      <w:pPr>
        <w:pStyle w:val="paragraph"/>
        <w:textAlignment w:val="baseline"/>
        <w:rPr>
          <w:rFonts w:ascii="Segoe UI" w:hAnsi="Segoe UI" w:cs="Segoe UI"/>
          <w:b/>
          <w:bCs/>
          <w:sz w:val="18"/>
          <w:szCs w:val="18"/>
        </w:rPr>
      </w:pPr>
      <w:r>
        <w:rPr>
          <w:rStyle w:val="normaltextrun"/>
          <w:rFonts w:ascii="Calibri" w:hAnsi="Calibri" w:cs="Calibri"/>
          <w:color w:val="1F3864"/>
          <w:sz w:val="44"/>
          <w:szCs w:val="44"/>
        </w:rPr>
        <w:t>Specific Questions</w:t>
      </w:r>
    </w:p>
    <w:p w14:paraId="13ED6102" w14:textId="55A2C364" w:rsidR="001E7EC5" w:rsidRPr="00880D3F" w:rsidRDefault="00153BD7" w:rsidP="00325595">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t>Proposals 1 and 2 recommend that margin simulation tools be made available by all CCPs to all CMs and clients, with enhanced functionality.</w:t>
      </w:r>
      <w:r w:rsidR="00D7313A">
        <w:rPr>
          <w:rFonts w:ascii="Segoe UI" w:hAnsi="Segoe UI" w:cs="Segoe UI"/>
          <w:b/>
          <w:bCs/>
          <w:sz w:val="18"/>
          <w:szCs w:val="18"/>
        </w:rPr>
        <w:br/>
      </w:r>
      <w:r w:rsidR="00D7313A">
        <w:rPr>
          <w:rFonts w:ascii="Segoe UI" w:hAnsi="Segoe UI" w:cs="Segoe UI"/>
          <w:b/>
          <w:bCs/>
          <w:sz w:val="18"/>
          <w:szCs w:val="18"/>
        </w:rPr>
        <w:br/>
      </w:r>
      <w:r w:rsidR="00817811">
        <w:rPr>
          <w:rFonts w:ascii="Segoe UI" w:hAnsi="Segoe UI" w:cs="Segoe UI"/>
          <w:sz w:val="18"/>
          <w:szCs w:val="18"/>
        </w:rPr>
        <w:t>I</w:t>
      </w:r>
      <w:r w:rsidR="00D7313A" w:rsidRPr="000E13FF">
        <w:rPr>
          <w:rFonts w:ascii="Segoe UI" w:hAnsi="Segoe UI" w:cs="Segoe UI"/>
          <w:sz w:val="18"/>
          <w:szCs w:val="18"/>
        </w:rPr>
        <w:t xml:space="preserve">n general, we believe offering margin simulators is appropriate, but that there are limitations here to what can be offered - i.e., we believe the expectation should be for margin simulators to be available for market participants to run their portfolios using current margin rates and that other offering, such as analysis under historical scenarios and hypothetical and custom scenarios should be at a CCP's discretion. Generally, for us, the most concerning </w:t>
      </w:r>
      <w:r w:rsidR="00311D3A" w:rsidRPr="000E13FF">
        <w:rPr>
          <w:rFonts w:ascii="Segoe UI" w:hAnsi="Segoe UI" w:cs="Segoe UI"/>
          <w:sz w:val="18"/>
          <w:szCs w:val="18"/>
        </w:rPr>
        <w:t xml:space="preserve">aspect of these proposals regarding </w:t>
      </w:r>
      <w:r w:rsidR="00D7313A" w:rsidRPr="000E13FF">
        <w:rPr>
          <w:rFonts w:ascii="Segoe UI" w:hAnsi="Segoe UI" w:cs="Segoe UI"/>
          <w:sz w:val="18"/>
          <w:szCs w:val="18"/>
        </w:rPr>
        <w:t>margin simulat</w:t>
      </w:r>
      <w:r w:rsidR="00311D3A" w:rsidRPr="000E13FF">
        <w:rPr>
          <w:rFonts w:ascii="Segoe UI" w:hAnsi="Segoe UI" w:cs="Segoe UI"/>
          <w:sz w:val="18"/>
          <w:szCs w:val="18"/>
        </w:rPr>
        <w:t>ion tools</w:t>
      </w:r>
      <w:r w:rsidR="00D7313A" w:rsidRPr="000E13FF">
        <w:rPr>
          <w:rFonts w:ascii="Segoe UI" w:hAnsi="Segoe UI" w:cs="Segoe UI"/>
          <w:sz w:val="18"/>
          <w:szCs w:val="18"/>
        </w:rPr>
        <w:t xml:space="preserve"> is </w:t>
      </w:r>
      <w:r w:rsidR="00311D3A" w:rsidRPr="000E13FF">
        <w:rPr>
          <w:rFonts w:ascii="Segoe UI" w:hAnsi="Segoe UI" w:cs="Segoe UI"/>
          <w:sz w:val="18"/>
          <w:szCs w:val="18"/>
        </w:rPr>
        <w:t xml:space="preserve">the requirement for </w:t>
      </w:r>
      <w:r w:rsidR="00D7313A" w:rsidRPr="000E13FF">
        <w:rPr>
          <w:rFonts w:ascii="Segoe UI" w:hAnsi="Segoe UI" w:cs="Segoe UI"/>
          <w:sz w:val="18"/>
          <w:szCs w:val="18"/>
        </w:rPr>
        <w:t>CCPs to offer hypothetical scenarios and participant-customi</w:t>
      </w:r>
      <w:r w:rsidR="00F83271">
        <w:rPr>
          <w:rFonts w:ascii="Segoe UI" w:hAnsi="Segoe UI" w:cs="Segoe UI"/>
          <w:sz w:val="18"/>
          <w:szCs w:val="18"/>
        </w:rPr>
        <w:t>s</w:t>
      </w:r>
      <w:r w:rsidR="00D7313A" w:rsidRPr="000E13FF">
        <w:rPr>
          <w:rFonts w:ascii="Segoe UI" w:hAnsi="Segoe UI" w:cs="Segoe UI"/>
          <w:sz w:val="18"/>
          <w:szCs w:val="18"/>
        </w:rPr>
        <w:t>ed scenarios</w:t>
      </w:r>
      <w:r w:rsidR="00AD5D61">
        <w:rPr>
          <w:rFonts w:ascii="Segoe UI" w:hAnsi="Segoe UI" w:cs="Segoe UI"/>
          <w:sz w:val="18"/>
          <w:szCs w:val="18"/>
        </w:rPr>
        <w:t xml:space="preserve">, as requiring such functionality would subject CCPs to substantial operational and financial costs without clear benefits for market participants’ liquidity </w:t>
      </w:r>
      <w:r w:rsidR="006C5304">
        <w:rPr>
          <w:rFonts w:ascii="Segoe UI" w:hAnsi="Segoe UI" w:cs="Segoe UI"/>
          <w:sz w:val="18"/>
          <w:szCs w:val="18"/>
        </w:rPr>
        <w:t>planning</w:t>
      </w:r>
      <w:r w:rsidR="00D7313A" w:rsidRPr="000E13FF">
        <w:rPr>
          <w:rFonts w:ascii="Segoe UI" w:hAnsi="Segoe UI" w:cs="Segoe UI"/>
          <w:sz w:val="18"/>
          <w:szCs w:val="18"/>
        </w:rPr>
        <w:t>.</w:t>
      </w:r>
      <w:r w:rsidR="00D7313A" w:rsidRPr="00D7313A">
        <w:rPr>
          <w:rFonts w:ascii="Segoe UI" w:hAnsi="Segoe UI" w:cs="Segoe UI"/>
          <w:b/>
          <w:bCs/>
          <w:sz w:val="18"/>
          <w:szCs w:val="18"/>
        </w:rPr>
        <w:t xml:space="preserve">  </w:t>
      </w:r>
      <w:r w:rsidR="00F22C4A" w:rsidRPr="00880D3F">
        <w:rPr>
          <w:rFonts w:ascii="Segoe UI" w:hAnsi="Segoe UI" w:cs="Segoe UI"/>
          <w:b/>
          <w:bCs/>
          <w:sz w:val="18"/>
          <w:szCs w:val="18"/>
        </w:rPr>
        <w:br/>
      </w:r>
    </w:p>
    <w:p w14:paraId="19A2A3A2" w14:textId="3BD5F76B" w:rsidR="001E7EC5" w:rsidRPr="00880D3F" w:rsidRDefault="00153BD7" w:rsidP="00781CFE">
      <w:pPr>
        <w:pStyle w:val="paragraph"/>
        <w:numPr>
          <w:ilvl w:val="1"/>
          <w:numId w:val="23"/>
        </w:numPr>
        <w:textAlignment w:val="baseline"/>
        <w:rPr>
          <w:rFonts w:ascii="Segoe UI" w:hAnsi="Segoe UI" w:cs="Segoe UI"/>
          <w:sz w:val="18"/>
          <w:szCs w:val="18"/>
        </w:rPr>
      </w:pPr>
      <w:r w:rsidRPr="00880D3F">
        <w:rPr>
          <w:rFonts w:ascii="Segoe UI" w:hAnsi="Segoe UI" w:cs="Segoe UI"/>
          <w:b/>
          <w:bCs/>
          <w:sz w:val="18"/>
          <w:szCs w:val="18"/>
        </w:rPr>
        <w:t>Are there certain modes of access to CCP simulation tools which are less costly or more effective?</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D46658" w:rsidRPr="00880D3F">
        <w:rPr>
          <w:rFonts w:ascii="Segoe UI" w:hAnsi="Segoe UI" w:cs="Segoe UI"/>
          <w:sz w:val="18"/>
          <w:szCs w:val="18"/>
        </w:rPr>
        <w:t>Simulators are typically made available through the CCP’s website</w:t>
      </w:r>
      <w:r w:rsidR="00907642" w:rsidRPr="00880D3F">
        <w:rPr>
          <w:rFonts w:ascii="Segoe UI" w:hAnsi="Segoe UI" w:cs="Segoe UI"/>
          <w:sz w:val="18"/>
          <w:szCs w:val="18"/>
        </w:rPr>
        <w:t xml:space="preserve"> or via an API </w:t>
      </w:r>
      <w:r w:rsidR="00851CD7" w:rsidRPr="00880D3F">
        <w:rPr>
          <w:rFonts w:ascii="Segoe UI" w:hAnsi="Segoe UI" w:cs="Segoe UI"/>
          <w:sz w:val="18"/>
          <w:szCs w:val="18"/>
        </w:rPr>
        <w:t>and</w:t>
      </w:r>
      <w:r w:rsidR="00907642" w:rsidRPr="00880D3F">
        <w:rPr>
          <w:rFonts w:ascii="Segoe UI" w:hAnsi="Segoe UI" w:cs="Segoe UI"/>
          <w:sz w:val="18"/>
          <w:szCs w:val="18"/>
        </w:rPr>
        <w:t xml:space="preserve"> UI. The WFE support allowing for the broadest </w:t>
      </w:r>
      <w:r w:rsidR="00851CD7" w:rsidRPr="00880D3F">
        <w:rPr>
          <w:rFonts w:ascii="Segoe UI" w:hAnsi="Segoe UI" w:cs="Segoe UI"/>
          <w:sz w:val="18"/>
          <w:szCs w:val="18"/>
        </w:rPr>
        <w:t>range of methods</w:t>
      </w:r>
      <w:r w:rsidR="00907642" w:rsidRPr="00880D3F">
        <w:rPr>
          <w:rFonts w:ascii="Segoe UI" w:hAnsi="Segoe UI" w:cs="Segoe UI"/>
          <w:sz w:val="18"/>
          <w:szCs w:val="18"/>
        </w:rPr>
        <w:t xml:space="preserve"> so that CCPs can tailor access to whatever is appropriate for their user</w:t>
      </w:r>
      <w:r w:rsidR="00851CD7" w:rsidRPr="00880D3F">
        <w:rPr>
          <w:rFonts w:ascii="Segoe UI" w:hAnsi="Segoe UI" w:cs="Segoe UI"/>
          <w:sz w:val="18"/>
          <w:szCs w:val="18"/>
        </w:rPr>
        <w:t>s.</w:t>
      </w:r>
      <w:r w:rsidR="00AD5D61">
        <w:rPr>
          <w:rFonts w:ascii="Segoe UI" w:hAnsi="Segoe UI" w:cs="Segoe UI"/>
          <w:sz w:val="18"/>
          <w:szCs w:val="18"/>
        </w:rPr>
        <w:t xml:space="preserve"> </w:t>
      </w:r>
      <w:r w:rsidR="00AD5D61" w:rsidRPr="00817811">
        <w:rPr>
          <w:rFonts w:ascii="Segoe UI" w:hAnsi="Segoe UI" w:cs="Segoe UI"/>
          <w:sz w:val="18"/>
          <w:szCs w:val="18"/>
        </w:rPr>
        <w:t>CCPs should have the ability to determine access for participants based on the typical ways in which they provide access to other CCP tools</w:t>
      </w:r>
      <w:r w:rsidR="00AD5D61">
        <w:rPr>
          <w:rFonts w:ascii="Segoe UI" w:hAnsi="Segoe UI" w:cs="Segoe UI"/>
          <w:sz w:val="18"/>
          <w:szCs w:val="18"/>
        </w:rPr>
        <w:t xml:space="preserve"> - </w:t>
      </w:r>
      <w:r w:rsidR="00AD5D61" w:rsidRPr="00817811">
        <w:rPr>
          <w:rFonts w:ascii="Segoe UI" w:hAnsi="Segoe UI" w:cs="Segoe UI"/>
          <w:sz w:val="18"/>
          <w:szCs w:val="18"/>
        </w:rPr>
        <w:t>not required to adopt other methods</w:t>
      </w:r>
      <w:r w:rsidR="00AD5D61">
        <w:rPr>
          <w:rFonts w:ascii="Segoe UI" w:hAnsi="Segoe UI" w:cs="Segoe UI"/>
          <w:sz w:val="18"/>
          <w:szCs w:val="18"/>
        </w:rPr>
        <w:t>.</w:t>
      </w:r>
      <w:r w:rsidR="00A754F4" w:rsidRPr="00880D3F">
        <w:rPr>
          <w:rFonts w:ascii="Segoe UI" w:hAnsi="Segoe UI" w:cs="Segoe UI"/>
          <w:sz w:val="18"/>
          <w:szCs w:val="18"/>
        </w:rPr>
        <w:br/>
      </w:r>
    </w:p>
    <w:p w14:paraId="03BB9510" w14:textId="744E1737" w:rsidR="001E7EC5" w:rsidRPr="00880D3F" w:rsidRDefault="00153BD7" w:rsidP="001E7EC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 xml:space="preserve">Are there any impediments to making simulators available to clients? To what extent could these impediments be mitigated or resolved, </w:t>
      </w:r>
      <w:proofErr w:type="spellStart"/>
      <w:r w:rsidRPr="00880D3F">
        <w:rPr>
          <w:rFonts w:ascii="Segoe UI" w:hAnsi="Segoe UI" w:cs="Segoe UI"/>
          <w:b/>
          <w:bCs/>
          <w:sz w:val="18"/>
          <w:szCs w:val="18"/>
        </w:rPr>
        <w:t>eg</w:t>
      </w:r>
      <w:proofErr w:type="spellEnd"/>
      <w:r w:rsidRPr="00880D3F">
        <w:rPr>
          <w:rFonts w:ascii="Segoe UI" w:hAnsi="Segoe UI" w:cs="Segoe UI"/>
          <w:b/>
          <w:bCs/>
          <w:sz w:val="18"/>
          <w:szCs w:val="18"/>
        </w:rPr>
        <w:t xml:space="preserve"> by changing the mode of providing access to tools, or how clients request access to tools? Does this depend on the format of CCP tool (</w:t>
      </w:r>
      <w:proofErr w:type="spellStart"/>
      <w:r w:rsidRPr="00880D3F">
        <w:rPr>
          <w:rFonts w:ascii="Segoe UI" w:hAnsi="Segoe UI" w:cs="Segoe UI"/>
          <w:b/>
          <w:bCs/>
          <w:sz w:val="18"/>
          <w:szCs w:val="18"/>
        </w:rPr>
        <w:t>eg</w:t>
      </w:r>
      <w:proofErr w:type="spellEnd"/>
      <w:r w:rsidRPr="00880D3F">
        <w:rPr>
          <w:rFonts w:ascii="Segoe UI" w:hAnsi="Segoe UI" w:cs="Segoe UI"/>
          <w:b/>
          <w:bCs/>
          <w:sz w:val="18"/>
          <w:szCs w:val="18"/>
        </w:rPr>
        <w:t xml:space="preserve"> the use of cloud technology, the use of APIs, etc)?</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710BE7" w:rsidRPr="00710BE7">
        <w:rPr>
          <w:rFonts w:ascii="Segoe UI" w:hAnsi="Segoe UI" w:cs="Segoe UI"/>
          <w:sz w:val="18"/>
          <w:szCs w:val="18"/>
        </w:rPr>
        <w:t xml:space="preserve">CCPs should be able to base decisions on </w:t>
      </w:r>
      <w:r w:rsidR="00F83271">
        <w:rPr>
          <w:rFonts w:ascii="Segoe UI" w:hAnsi="Segoe UI" w:cs="Segoe UI"/>
          <w:sz w:val="18"/>
          <w:szCs w:val="18"/>
        </w:rPr>
        <w:t>how</w:t>
      </w:r>
      <w:r w:rsidR="00710BE7" w:rsidRPr="00710BE7">
        <w:rPr>
          <w:rFonts w:ascii="Segoe UI" w:hAnsi="Segoe UI" w:cs="Segoe UI"/>
          <w:sz w:val="18"/>
          <w:szCs w:val="18"/>
        </w:rPr>
        <w:t xml:space="preserve"> to build or </w:t>
      </w:r>
      <w:r w:rsidR="00F83271">
        <w:rPr>
          <w:rFonts w:ascii="Segoe UI" w:hAnsi="Segoe UI" w:cs="Segoe UI"/>
          <w:sz w:val="18"/>
          <w:szCs w:val="18"/>
        </w:rPr>
        <w:t xml:space="preserve">whether to </w:t>
      </w:r>
      <w:r w:rsidR="00710BE7" w:rsidRPr="00710BE7">
        <w:rPr>
          <w:rFonts w:ascii="Segoe UI" w:hAnsi="Segoe UI" w:cs="Segoe UI"/>
          <w:sz w:val="18"/>
          <w:szCs w:val="18"/>
        </w:rPr>
        <w:t xml:space="preserve">enhance simulators on cost-benefit </w:t>
      </w:r>
      <w:r w:rsidR="00710BE7" w:rsidRPr="00710BE7">
        <w:rPr>
          <w:rFonts w:ascii="Segoe UI" w:hAnsi="Segoe UI" w:cs="Segoe UI"/>
          <w:sz w:val="18"/>
          <w:szCs w:val="18"/>
        </w:rPr>
        <w:lastRenderedPageBreak/>
        <w:t>analyses, which may include consideration of charging for value-added services (i.e. additional functionality over and above that provided in the ‘base’ simulator).</w:t>
      </w:r>
      <w:r w:rsidR="00A754F4" w:rsidRPr="00880D3F">
        <w:rPr>
          <w:rFonts w:ascii="Segoe UI" w:hAnsi="Segoe UI" w:cs="Segoe UI"/>
          <w:sz w:val="18"/>
          <w:szCs w:val="18"/>
        </w:rPr>
        <w:br/>
      </w:r>
    </w:p>
    <w:p w14:paraId="35D813AD" w14:textId="263432D8" w:rsidR="005221C2" w:rsidRPr="00684AE3" w:rsidRDefault="00153BD7" w:rsidP="00684AE3">
      <w:pPr>
        <w:pStyle w:val="paragraph"/>
        <w:numPr>
          <w:ilvl w:val="1"/>
          <w:numId w:val="23"/>
        </w:numPr>
        <w:textAlignment w:val="baseline"/>
        <w:rPr>
          <w:rFonts w:ascii="Segoe UI" w:hAnsi="Segoe UI" w:cs="Segoe UI"/>
          <w:b/>
          <w:bCs/>
          <w:sz w:val="2"/>
          <w:szCs w:val="2"/>
        </w:rPr>
      </w:pPr>
      <w:r w:rsidRPr="00880D3F">
        <w:rPr>
          <w:rFonts w:ascii="Segoe UI" w:hAnsi="Segoe UI" w:cs="Segoe UI"/>
          <w:b/>
          <w:bCs/>
          <w:sz w:val="18"/>
          <w:szCs w:val="18"/>
        </w:rPr>
        <w:t>Are there any reasons why the proposed historical and hypothetical scenarios to be provided as part of the simulator tool suite should differ from the CCP’s current set of extreme but</w:t>
      </w:r>
      <w:r w:rsidR="001E7EC5" w:rsidRPr="00880D3F">
        <w:rPr>
          <w:rFonts w:ascii="Segoe UI" w:hAnsi="Segoe UI" w:cs="Segoe UI"/>
          <w:b/>
          <w:bCs/>
          <w:sz w:val="18"/>
          <w:szCs w:val="18"/>
        </w:rPr>
        <w:t xml:space="preserve"> </w:t>
      </w:r>
      <w:r w:rsidRPr="00880D3F">
        <w:rPr>
          <w:rFonts w:ascii="Segoe UI" w:hAnsi="Segoe UI" w:cs="Segoe UI"/>
          <w:b/>
          <w:bCs/>
          <w:sz w:val="18"/>
          <w:szCs w:val="18"/>
        </w:rPr>
        <w:t xml:space="preserve">plausible stress test scenarios? In addition, would there be additional value in allowing users to customise their own scenarios within the simulator tool? If so, what types of </w:t>
      </w:r>
      <w:proofErr w:type="gramStart"/>
      <w:r w:rsidRPr="00880D3F">
        <w:rPr>
          <w:rFonts w:ascii="Segoe UI" w:hAnsi="Segoe UI" w:cs="Segoe UI"/>
          <w:b/>
          <w:bCs/>
          <w:sz w:val="18"/>
          <w:szCs w:val="18"/>
        </w:rPr>
        <w:t>customisation</w:t>
      </w:r>
      <w:proofErr w:type="gramEnd"/>
      <w:r w:rsidRPr="00880D3F">
        <w:rPr>
          <w:rFonts w:ascii="Segoe UI" w:hAnsi="Segoe UI" w:cs="Segoe UI"/>
          <w:b/>
          <w:bCs/>
          <w:sz w:val="18"/>
          <w:szCs w:val="18"/>
        </w:rPr>
        <w:t xml:space="preserve"> would be of most value</w:t>
      </w:r>
      <w:r w:rsidR="005221C2" w:rsidRPr="00880D3F">
        <w:rPr>
          <w:rFonts w:ascii="Segoe UI" w:hAnsi="Segoe UI" w:cs="Segoe UI"/>
          <w:b/>
          <w:bCs/>
          <w:sz w:val="18"/>
          <w:szCs w:val="18"/>
        </w:rPr>
        <w:t xml:space="preserve">? </w:t>
      </w:r>
    </w:p>
    <w:p w14:paraId="3EE43B60" w14:textId="2EFA871C" w:rsidR="006A36F7" w:rsidRDefault="00B81542" w:rsidP="0063270F">
      <w:pPr>
        <w:pStyle w:val="paragraph"/>
        <w:ind w:left="1440"/>
        <w:textAlignment w:val="baseline"/>
        <w:rPr>
          <w:rFonts w:ascii="Segoe UI" w:hAnsi="Segoe UI" w:cs="Segoe UI"/>
          <w:sz w:val="18"/>
          <w:szCs w:val="18"/>
        </w:rPr>
      </w:pPr>
      <w:r w:rsidRPr="00880D3F">
        <w:rPr>
          <w:rFonts w:ascii="Segoe UI" w:hAnsi="Segoe UI" w:cs="Segoe UI"/>
          <w:sz w:val="18"/>
          <w:szCs w:val="18"/>
        </w:rPr>
        <w:t xml:space="preserve">We </w:t>
      </w:r>
      <w:r w:rsidR="00C26B1F">
        <w:rPr>
          <w:rFonts w:ascii="Segoe UI" w:hAnsi="Segoe UI" w:cs="Segoe UI"/>
          <w:sz w:val="18"/>
          <w:szCs w:val="18"/>
        </w:rPr>
        <w:t>recogni</w:t>
      </w:r>
      <w:r w:rsidR="005432C2">
        <w:rPr>
          <w:rFonts w:ascii="Segoe UI" w:hAnsi="Segoe UI" w:cs="Segoe UI"/>
          <w:sz w:val="18"/>
          <w:szCs w:val="18"/>
        </w:rPr>
        <w:t>s</w:t>
      </w:r>
      <w:r w:rsidR="00C26B1F">
        <w:rPr>
          <w:rFonts w:ascii="Segoe UI" w:hAnsi="Segoe UI" w:cs="Segoe UI"/>
          <w:sz w:val="18"/>
          <w:szCs w:val="18"/>
        </w:rPr>
        <w:t>e the importance of</w:t>
      </w:r>
      <w:r w:rsidRPr="00880D3F">
        <w:rPr>
          <w:rFonts w:ascii="Segoe UI" w:hAnsi="Segoe UI" w:cs="Segoe UI"/>
          <w:sz w:val="18"/>
          <w:szCs w:val="18"/>
        </w:rPr>
        <w:t xml:space="preserve"> </w:t>
      </w:r>
      <w:r>
        <w:rPr>
          <w:rFonts w:ascii="Segoe UI" w:hAnsi="Segoe UI" w:cs="Segoe UI"/>
          <w:sz w:val="18"/>
          <w:szCs w:val="18"/>
        </w:rPr>
        <w:t xml:space="preserve">CCPs </w:t>
      </w:r>
      <w:r w:rsidR="000A09DC">
        <w:rPr>
          <w:rFonts w:ascii="Segoe UI" w:hAnsi="Segoe UI" w:cs="Segoe UI"/>
          <w:sz w:val="18"/>
          <w:szCs w:val="18"/>
        </w:rPr>
        <w:t>providing</w:t>
      </w:r>
      <w:r w:rsidR="00C26B1F">
        <w:rPr>
          <w:rFonts w:ascii="Segoe UI" w:hAnsi="Segoe UI" w:cs="Segoe UI"/>
          <w:sz w:val="18"/>
          <w:szCs w:val="18"/>
        </w:rPr>
        <w:t xml:space="preserve"> appropriate</w:t>
      </w:r>
      <w:r w:rsidR="000A09DC" w:rsidRPr="00851DDF">
        <w:rPr>
          <w:rFonts w:ascii="Segoe UI" w:hAnsi="Segoe UI" w:cs="Segoe UI"/>
          <w:sz w:val="18"/>
          <w:szCs w:val="18"/>
        </w:rPr>
        <w:t xml:space="preserve"> </w:t>
      </w:r>
      <w:r w:rsidRPr="00851DDF">
        <w:rPr>
          <w:rFonts w:ascii="Segoe UI" w:hAnsi="Segoe UI" w:cs="Segoe UI"/>
          <w:sz w:val="18"/>
          <w:szCs w:val="18"/>
        </w:rPr>
        <w:t>information so that participants can adequately manage their liquidity needs</w:t>
      </w:r>
      <w:r w:rsidRPr="00880D3F">
        <w:rPr>
          <w:rFonts w:ascii="Segoe UI" w:hAnsi="Segoe UI" w:cs="Segoe UI"/>
          <w:sz w:val="18"/>
          <w:szCs w:val="18"/>
        </w:rPr>
        <w:t xml:space="preserve"> (assuming no proprietary data is disclosed)</w:t>
      </w:r>
      <w:r w:rsidR="00851DDF" w:rsidRPr="00851DDF">
        <w:rPr>
          <w:rFonts w:ascii="Segoe UI" w:hAnsi="Segoe UI" w:cs="Segoe UI"/>
          <w:sz w:val="18"/>
          <w:szCs w:val="18"/>
        </w:rPr>
        <w:t>,</w:t>
      </w:r>
      <w:r w:rsidR="00C05EC2">
        <w:rPr>
          <w:rFonts w:ascii="Segoe UI" w:hAnsi="Segoe UI" w:cs="Segoe UI"/>
          <w:sz w:val="18"/>
          <w:szCs w:val="18"/>
        </w:rPr>
        <w:t xml:space="preserve"> but</w:t>
      </w:r>
      <w:r w:rsidR="00851DDF" w:rsidRPr="00851DDF">
        <w:rPr>
          <w:rFonts w:ascii="Segoe UI" w:hAnsi="Segoe UI" w:cs="Segoe UI"/>
          <w:sz w:val="18"/>
          <w:szCs w:val="18"/>
        </w:rPr>
        <w:t xml:space="preserve"> </w:t>
      </w:r>
      <w:r w:rsidR="00DD122A">
        <w:rPr>
          <w:rFonts w:ascii="Segoe UI" w:hAnsi="Segoe UI" w:cs="Segoe UI"/>
          <w:sz w:val="18"/>
          <w:szCs w:val="18"/>
        </w:rPr>
        <w:t>we do not believe it should be</w:t>
      </w:r>
      <w:r w:rsidR="00851DDF" w:rsidRPr="00851DDF">
        <w:rPr>
          <w:rFonts w:ascii="Segoe UI" w:hAnsi="Segoe UI" w:cs="Segoe UI"/>
          <w:sz w:val="18"/>
          <w:szCs w:val="18"/>
        </w:rPr>
        <w:t xml:space="preserve"> the CCP’s responsibility to do the liquidity management of the participant or to </w:t>
      </w:r>
      <w:r w:rsidR="00A93A62">
        <w:rPr>
          <w:rFonts w:ascii="Segoe UI" w:hAnsi="Segoe UI" w:cs="Segoe UI"/>
          <w:sz w:val="18"/>
          <w:szCs w:val="18"/>
        </w:rPr>
        <w:t xml:space="preserve">assume the role of software vendors to </w:t>
      </w:r>
      <w:r w:rsidR="00851DDF" w:rsidRPr="00851DDF">
        <w:rPr>
          <w:rFonts w:ascii="Segoe UI" w:hAnsi="Segoe UI" w:cs="Segoe UI"/>
          <w:sz w:val="18"/>
          <w:szCs w:val="18"/>
        </w:rPr>
        <w:t>create</w:t>
      </w:r>
      <w:r w:rsidR="00A93A62">
        <w:rPr>
          <w:rFonts w:ascii="Segoe UI" w:hAnsi="Segoe UI" w:cs="Segoe UI"/>
          <w:sz w:val="18"/>
          <w:szCs w:val="18"/>
        </w:rPr>
        <w:t xml:space="preserve"> the</w:t>
      </w:r>
      <w:r w:rsidR="00851DDF" w:rsidRPr="00851DDF">
        <w:rPr>
          <w:rFonts w:ascii="Segoe UI" w:hAnsi="Segoe UI" w:cs="Segoe UI"/>
          <w:sz w:val="18"/>
          <w:szCs w:val="18"/>
        </w:rPr>
        <w:t xml:space="preserve"> tools </w:t>
      </w:r>
      <w:r w:rsidR="003B1791">
        <w:rPr>
          <w:rFonts w:ascii="Segoe UI" w:hAnsi="Segoe UI" w:cs="Segoe UI"/>
          <w:sz w:val="18"/>
          <w:szCs w:val="18"/>
        </w:rPr>
        <w:t>required</w:t>
      </w:r>
      <w:r w:rsidR="00851DDF" w:rsidRPr="00851DDF">
        <w:rPr>
          <w:rFonts w:ascii="Segoe UI" w:hAnsi="Segoe UI" w:cs="Segoe UI"/>
          <w:sz w:val="18"/>
          <w:szCs w:val="18"/>
        </w:rPr>
        <w:t xml:space="preserve">. </w:t>
      </w:r>
    </w:p>
    <w:p w14:paraId="04853BB6" w14:textId="0C7AC02F" w:rsidR="000B581B" w:rsidRPr="00880D3F" w:rsidRDefault="000B581B" w:rsidP="000B581B">
      <w:pPr>
        <w:pStyle w:val="paragraph"/>
        <w:ind w:left="1440"/>
        <w:textAlignment w:val="baseline"/>
        <w:rPr>
          <w:rFonts w:ascii="Segoe UI" w:hAnsi="Segoe UI" w:cs="Segoe UI"/>
          <w:sz w:val="18"/>
          <w:szCs w:val="18"/>
        </w:rPr>
      </w:pPr>
      <w:r>
        <w:rPr>
          <w:rFonts w:ascii="Segoe UI" w:hAnsi="Segoe UI" w:cs="Segoe UI"/>
          <w:sz w:val="18"/>
          <w:szCs w:val="18"/>
        </w:rPr>
        <w:t>M</w:t>
      </w:r>
      <w:r w:rsidRPr="00880D3F">
        <w:rPr>
          <w:rFonts w:ascii="Segoe UI" w:hAnsi="Segoe UI" w:cs="Segoe UI"/>
          <w:sz w:val="18"/>
          <w:szCs w:val="18"/>
        </w:rPr>
        <w:t>argin simulation for hypothetical</w:t>
      </w:r>
      <w:r>
        <w:rPr>
          <w:rFonts w:ascii="Segoe UI" w:hAnsi="Segoe UI" w:cs="Segoe UI"/>
          <w:sz w:val="18"/>
          <w:szCs w:val="18"/>
        </w:rPr>
        <w:t xml:space="preserve"> and custom</w:t>
      </w:r>
      <w:r w:rsidRPr="00880D3F">
        <w:rPr>
          <w:rFonts w:ascii="Segoe UI" w:hAnsi="Segoe UI" w:cs="Segoe UI"/>
          <w:sz w:val="18"/>
          <w:szCs w:val="18"/>
        </w:rPr>
        <w:t xml:space="preserve"> scenarios is not common practice, may not be particularly useful, and is likely to substantially increase development costs for CCPs. </w:t>
      </w:r>
      <w:r>
        <w:rPr>
          <w:rFonts w:ascii="Segoe UI" w:hAnsi="Segoe UI" w:cs="Segoe UI"/>
          <w:sz w:val="18"/>
          <w:szCs w:val="18"/>
        </w:rPr>
        <w:t xml:space="preserve">It </w:t>
      </w:r>
      <w:r w:rsidRPr="00880D3F">
        <w:rPr>
          <w:rFonts w:ascii="Segoe UI" w:hAnsi="Segoe UI" w:cs="Segoe UI"/>
          <w:sz w:val="18"/>
          <w:szCs w:val="18"/>
        </w:rPr>
        <w:t>would be challenging</w:t>
      </w:r>
      <w:r>
        <w:rPr>
          <w:rFonts w:ascii="Segoe UI" w:hAnsi="Segoe UI" w:cs="Segoe UI"/>
          <w:sz w:val="18"/>
          <w:szCs w:val="18"/>
        </w:rPr>
        <w:t xml:space="preserve"> and overly complex</w:t>
      </w:r>
      <w:r w:rsidRPr="00880D3F">
        <w:rPr>
          <w:rFonts w:ascii="Segoe UI" w:hAnsi="Segoe UI" w:cs="Segoe UI"/>
          <w:sz w:val="18"/>
          <w:szCs w:val="18"/>
        </w:rPr>
        <w:t xml:space="preserve"> to provide tools that run “what-if” analysis of potential changes in </w:t>
      </w:r>
      <w:r>
        <w:rPr>
          <w:rFonts w:ascii="Segoe UI" w:hAnsi="Segoe UI" w:cs="Segoe UI"/>
          <w:sz w:val="18"/>
          <w:szCs w:val="18"/>
        </w:rPr>
        <w:t>initial margin</w:t>
      </w:r>
      <w:r w:rsidRPr="00880D3F">
        <w:rPr>
          <w:rFonts w:ascii="Segoe UI" w:hAnsi="Segoe UI" w:cs="Segoe UI"/>
          <w:sz w:val="18"/>
          <w:szCs w:val="18"/>
        </w:rPr>
        <w:t xml:space="preserve"> requirements under different </w:t>
      </w:r>
      <w:r>
        <w:rPr>
          <w:rFonts w:ascii="Segoe UI" w:hAnsi="Segoe UI" w:cs="Segoe UI"/>
          <w:sz w:val="18"/>
          <w:szCs w:val="18"/>
        </w:rPr>
        <w:t>hypothetical and custom</w:t>
      </w:r>
      <w:r w:rsidRPr="00880D3F">
        <w:rPr>
          <w:rFonts w:ascii="Segoe UI" w:hAnsi="Segoe UI" w:cs="Segoe UI"/>
          <w:sz w:val="18"/>
          <w:szCs w:val="18"/>
        </w:rPr>
        <w:t xml:space="preserve"> scenarios - especially ones that give a </w:t>
      </w:r>
      <w:r>
        <w:rPr>
          <w:rFonts w:ascii="Segoe UI" w:hAnsi="Segoe UI" w:cs="Segoe UI"/>
          <w:sz w:val="18"/>
          <w:szCs w:val="18"/>
        </w:rPr>
        <w:t xml:space="preserve">precise </w:t>
      </w:r>
      <w:r w:rsidRPr="00880D3F">
        <w:rPr>
          <w:rFonts w:ascii="Segoe UI" w:hAnsi="Segoe UI" w:cs="Segoe UI"/>
          <w:sz w:val="18"/>
          <w:szCs w:val="18"/>
        </w:rPr>
        <w:t>picture of potential future episodes of market stress.</w:t>
      </w:r>
      <w:r>
        <w:rPr>
          <w:rFonts w:ascii="Segoe UI" w:hAnsi="Segoe UI" w:cs="Segoe UI"/>
          <w:sz w:val="18"/>
          <w:szCs w:val="18"/>
        </w:rPr>
        <w:t xml:space="preserve"> The relative complexity of such scenarios needs to be considered, as, in part, participant portfolios are unique and thus, it would be impossible to design tool that could effectively capture the unique risks of the variety of portfolios cleared by a CCP</w:t>
      </w:r>
      <w:r>
        <w:rPr>
          <w:rStyle w:val="cf01"/>
        </w:rPr>
        <w:t>. For example, a scenario does not simply outline that “the price of a product increases by 10%”. Products are typically correlated with other products which may also be part of a portfolio, and this would thus need to be considered. The derivatives in the portfolio would need to be repriced, and therefore it would be necessary to know the deltas involved, for instance.</w:t>
      </w:r>
    </w:p>
    <w:p w14:paraId="03747FCB" w14:textId="3E6B0067" w:rsidR="00851DDF" w:rsidRDefault="00F83271" w:rsidP="0063270F">
      <w:pPr>
        <w:pStyle w:val="paragraph"/>
        <w:ind w:left="1440"/>
        <w:textAlignment w:val="baseline"/>
        <w:rPr>
          <w:rFonts w:ascii="Segoe UI" w:hAnsi="Segoe UI" w:cs="Segoe UI"/>
          <w:sz w:val="18"/>
          <w:szCs w:val="18"/>
        </w:rPr>
      </w:pPr>
      <w:r>
        <w:rPr>
          <w:rFonts w:ascii="Segoe UI" w:hAnsi="Segoe UI" w:cs="Segoe UI"/>
          <w:sz w:val="18"/>
          <w:szCs w:val="18"/>
        </w:rPr>
        <w:t xml:space="preserve">In addition to </w:t>
      </w:r>
      <w:r w:rsidR="00C26B1F">
        <w:rPr>
          <w:rFonts w:ascii="Segoe UI" w:hAnsi="Segoe UI" w:cs="Segoe UI"/>
          <w:sz w:val="18"/>
          <w:szCs w:val="18"/>
        </w:rPr>
        <w:t>t</w:t>
      </w:r>
      <w:r w:rsidR="006A36F7">
        <w:rPr>
          <w:rFonts w:ascii="Segoe UI" w:hAnsi="Segoe UI" w:cs="Segoe UI"/>
          <w:sz w:val="18"/>
          <w:szCs w:val="18"/>
        </w:rPr>
        <w:t>he WFE</w:t>
      </w:r>
      <w:r w:rsidR="00C26B1F">
        <w:rPr>
          <w:rFonts w:ascii="Segoe UI" w:hAnsi="Segoe UI" w:cs="Segoe UI"/>
          <w:sz w:val="18"/>
          <w:szCs w:val="18"/>
        </w:rPr>
        <w:t>’s general concerns on requiring CCPs to provide margin simulators</w:t>
      </w:r>
      <w:r w:rsidR="000B581B">
        <w:rPr>
          <w:rFonts w:ascii="Segoe UI" w:hAnsi="Segoe UI" w:cs="Segoe UI"/>
          <w:sz w:val="18"/>
          <w:szCs w:val="18"/>
        </w:rPr>
        <w:t xml:space="preserve"> with enhanced functionalities</w:t>
      </w:r>
      <w:r w:rsidR="00C26B1F">
        <w:rPr>
          <w:rFonts w:ascii="Segoe UI" w:hAnsi="Segoe UI" w:cs="Segoe UI"/>
          <w:sz w:val="18"/>
          <w:szCs w:val="18"/>
        </w:rPr>
        <w:t>, it</w:t>
      </w:r>
      <w:r w:rsidR="006A36F7">
        <w:rPr>
          <w:rFonts w:ascii="Segoe UI" w:hAnsi="Segoe UI" w:cs="Segoe UI"/>
          <w:sz w:val="18"/>
          <w:szCs w:val="18"/>
        </w:rPr>
        <w:t xml:space="preserve"> also warns against </w:t>
      </w:r>
      <w:r w:rsidR="006A36F7" w:rsidRPr="006A36F7">
        <w:rPr>
          <w:rFonts w:ascii="Segoe UI" w:hAnsi="Segoe UI" w:cs="Segoe UI"/>
          <w:sz w:val="18"/>
          <w:szCs w:val="18"/>
        </w:rPr>
        <w:t>suggest</w:t>
      </w:r>
      <w:r w:rsidR="006A36F7">
        <w:rPr>
          <w:rFonts w:ascii="Segoe UI" w:hAnsi="Segoe UI" w:cs="Segoe UI"/>
          <w:sz w:val="18"/>
          <w:szCs w:val="18"/>
        </w:rPr>
        <w:t>ing</w:t>
      </w:r>
      <w:r w:rsidR="006A36F7" w:rsidRPr="006A36F7">
        <w:rPr>
          <w:rFonts w:ascii="Segoe UI" w:hAnsi="Segoe UI" w:cs="Segoe UI"/>
          <w:sz w:val="18"/>
          <w:szCs w:val="18"/>
        </w:rPr>
        <w:t xml:space="preserve"> </w:t>
      </w:r>
      <w:r>
        <w:rPr>
          <w:rFonts w:ascii="Segoe UI" w:hAnsi="Segoe UI" w:cs="Segoe UI"/>
          <w:sz w:val="18"/>
          <w:szCs w:val="18"/>
        </w:rPr>
        <w:t xml:space="preserve">that </w:t>
      </w:r>
      <w:r w:rsidR="006A36F7" w:rsidRPr="006A36F7">
        <w:rPr>
          <w:rFonts w:ascii="Segoe UI" w:hAnsi="Segoe UI" w:cs="Segoe UI"/>
          <w:sz w:val="18"/>
          <w:szCs w:val="18"/>
        </w:rPr>
        <w:t xml:space="preserve">specific </w:t>
      </w:r>
      <w:r w:rsidR="00663D1A">
        <w:rPr>
          <w:rFonts w:ascii="Segoe UI" w:hAnsi="Segoe UI" w:cs="Segoe UI"/>
          <w:sz w:val="18"/>
          <w:szCs w:val="18"/>
        </w:rPr>
        <w:t xml:space="preserve">historical </w:t>
      </w:r>
      <w:r w:rsidR="00C26B1F">
        <w:rPr>
          <w:rFonts w:ascii="Segoe UI" w:hAnsi="Segoe UI" w:cs="Segoe UI"/>
          <w:sz w:val="18"/>
          <w:szCs w:val="18"/>
        </w:rPr>
        <w:t xml:space="preserve">and hypothetical </w:t>
      </w:r>
      <w:r w:rsidR="006A36F7" w:rsidRPr="006A36F7">
        <w:rPr>
          <w:rFonts w:ascii="Segoe UI" w:hAnsi="Segoe UI" w:cs="Segoe UI"/>
          <w:sz w:val="18"/>
          <w:szCs w:val="18"/>
        </w:rPr>
        <w:t>scenarios</w:t>
      </w:r>
      <w:r w:rsidR="00C26B1F">
        <w:rPr>
          <w:rFonts w:ascii="Segoe UI" w:hAnsi="Segoe UI" w:cs="Segoe UI"/>
          <w:sz w:val="18"/>
          <w:szCs w:val="18"/>
        </w:rPr>
        <w:t xml:space="preserve"> used in</w:t>
      </w:r>
      <w:r w:rsidR="00167D12">
        <w:rPr>
          <w:rFonts w:ascii="Segoe UI" w:hAnsi="Segoe UI" w:cs="Segoe UI"/>
          <w:sz w:val="18"/>
          <w:szCs w:val="18"/>
        </w:rPr>
        <w:t xml:space="preserve"> CCP </w:t>
      </w:r>
      <w:r w:rsidR="00DD122A">
        <w:rPr>
          <w:rFonts w:ascii="Segoe UI" w:hAnsi="Segoe UI" w:cs="Segoe UI"/>
          <w:sz w:val="18"/>
          <w:szCs w:val="18"/>
        </w:rPr>
        <w:t>default fund calibration</w:t>
      </w:r>
      <w:r>
        <w:rPr>
          <w:rFonts w:ascii="Segoe UI" w:hAnsi="Segoe UI" w:cs="Segoe UI"/>
          <w:sz w:val="18"/>
          <w:szCs w:val="18"/>
        </w:rPr>
        <w:t>,</w:t>
      </w:r>
      <w:r w:rsidR="00C26B1F">
        <w:rPr>
          <w:rFonts w:ascii="Segoe UI" w:hAnsi="Segoe UI" w:cs="Segoe UI"/>
          <w:sz w:val="18"/>
          <w:szCs w:val="18"/>
        </w:rPr>
        <w:t xml:space="preserve"> should be provided as a part of margin simulation tools. These</w:t>
      </w:r>
      <w:r w:rsidR="00DD122A">
        <w:rPr>
          <w:rFonts w:ascii="Segoe UI" w:hAnsi="Segoe UI" w:cs="Segoe UI"/>
          <w:sz w:val="18"/>
          <w:szCs w:val="18"/>
        </w:rPr>
        <w:t xml:space="preserve"> scenarios </w:t>
      </w:r>
      <w:r w:rsidR="00C26B1F">
        <w:rPr>
          <w:rFonts w:ascii="Segoe UI" w:hAnsi="Segoe UI" w:cs="Segoe UI"/>
          <w:sz w:val="18"/>
          <w:szCs w:val="18"/>
        </w:rPr>
        <w:t>have a very different purpose than a CCP’s margin methodologies</w:t>
      </w:r>
      <w:r w:rsidR="005A114B">
        <w:rPr>
          <w:rFonts w:ascii="Segoe UI" w:hAnsi="Segoe UI" w:cs="Segoe UI"/>
          <w:sz w:val="18"/>
          <w:szCs w:val="18"/>
        </w:rPr>
        <w:t xml:space="preserve">, which is the focus of the proposed </w:t>
      </w:r>
      <w:proofErr w:type="gramStart"/>
      <w:r w:rsidR="005A114B">
        <w:rPr>
          <w:rFonts w:ascii="Segoe UI" w:hAnsi="Segoe UI" w:cs="Segoe UI"/>
          <w:sz w:val="18"/>
          <w:szCs w:val="18"/>
        </w:rPr>
        <w:t>simulations</w:t>
      </w:r>
      <w:r w:rsidR="000B581B">
        <w:rPr>
          <w:rFonts w:ascii="Segoe UI" w:hAnsi="Segoe UI" w:cs="Segoe UI"/>
          <w:sz w:val="18"/>
          <w:szCs w:val="18"/>
        </w:rPr>
        <w:t>,</w:t>
      </w:r>
      <w:r w:rsidR="005A114B">
        <w:rPr>
          <w:rFonts w:ascii="Segoe UI" w:hAnsi="Segoe UI" w:cs="Segoe UI"/>
          <w:sz w:val="18"/>
          <w:szCs w:val="18"/>
        </w:rPr>
        <w:t xml:space="preserve"> </w:t>
      </w:r>
      <w:r w:rsidR="00C26B1F">
        <w:rPr>
          <w:rFonts w:ascii="Segoe UI" w:hAnsi="Segoe UI" w:cs="Segoe UI"/>
          <w:sz w:val="18"/>
          <w:szCs w:val="18"/>
        </w:rPr>
        <w:t xml:space="preserve"> </w:t>
      </w:r>
      <w:r w:rsidR="000B581B">
        <w:rPr>
          <w:rFonts w:ascii="Segoe UI" w:hAnsi="Segoe UI" w:cs="Segoe UI"/>
          <w:sz w:val="18"/>
          <w:szCs w:val="18"/>
        </w:rPr>
        <w:t>T</w:t>
      </w:r>
      <w:r w:rsidR="00C26B1F">
        <w:rPr>
          <w:rFonts w:ascii="Segoe UI" w:hAnsi="Segoe UI" w:cs="Segoe UI"/>
          <w:sz w:val="18"/>
          <w:szCs w:val="18"/>
        </w:rPr>
        <w:t>he</w:t>
      </w:r>
      <w:proofErr w:type="gramEnd"/>
      <w:r w:rsidR="00C26B1F">
        <w:rPr>
          <w:rFonts w:ascii="Segoe UI" w:hAnsi="Segoe UI" w:cs="Segoe UI"/>
          <w:sz w:val="18"/>
          <w:szCs w:val="18"/>
        </w:rPr>
        <w:t xml:space="preserve"> scenarios </w:t>
      </w:r>
      <w:r w:rsidR="000B581B">
        <w:rPr>
          <w:rFonts w:ascii="Segoe UI" w:hAnsi="Segoe UI" w:cs="Segoe UI"/>
          <w:sz w:val="18"/>
          <w:szCs w:val="18"/>
        </w:rPr>
        <w:t xml:space="preserve">used for the default fund </w:t>
      </w:r>
      <w:r w:rsidR="00C26B1F">
        <w:rPr>
          <w:rFonts w:ascii="Segoe UI" w:hAnsi="Segoe UI" w:cs="Segoe UI"/>
          <w:sz w:val="18"/>
          <w:szCs w:val="18"/>
        </w:rPr>
        <w:t xml:space="preserve">are designed to cover </w:t>
      </w:r>
      <w:r w:rsidR="005C45D4">
        <w:rPr>
          <w:rFonts w:ascii="Segoe UI" w:hAnsi="Segoe UI" w:cs="Segoe UI"/>
          <w:sz w:val="18"/>
          <w:szCs w:val="18"/>
        </w:rPr>
        <w:t>risks beyond what is intended to be covered by one’s margin models, thus, making their inclusion unsuitable and potentially confusing for users. Additionally, the number of scenarios used in CCP default fund calibration can be</w:t>
      </w:r>
      <w:r w:rsidR="00DD122A" w:rsidRPr="006A36F7">
        <w:rPr>
          <w:rFonts w:ascii="Segoe UI" w:hAnsi="Segoe UI" w:cs="Segoe UI"/>
          <w:sz w:val="18"/>
          <w:szCs w:val="18"/>
        </w:rPr>
        <w:t xml:space="preserve"> very large (</w:t>
      </w:r>
      <w:r w:rsidR="005A21BF">
        <w:rPr>
          <w:rFonts w:ascii="Segoe UI" w:hAnsi="Segoe UI" w:cs="Segoe UI"/>
          <w:sz w:val="18"/>
          <w:szCs w:val="18"/>
        </w:rPr>
        <w:t xml:space="preserve">for example, </w:t>
      </w:r>
      <w:r w:rsidR="00DD122A">
        <w:rPr>
          <w:rFonts w:ascii="Segoe UI" w:hAnsi="Segoe UI" w:cs="Segoe UI"/>
          <w:sz w:val="18"/>
          <w:szCs w:val="18"/>
        </w:rPr>
        <w:t>in the hundreds</w:t>
      </w:r>
      <w:r w:rsidR="00DD122A" w:rsidRPr="006A36F7">
        <w:rPr>
          <w:rFonts w:ascii="Segoe UI" w:hAnsi="Segoe UI" w:cs="Segoe UI"/>
          <w:sz w:val="18"/>
          <w:szCs w:val="18"/>
        </w:rPr>
        <w:t>)</w:t>
      </w:r>
      <w:r w:rsidR="005C45D4">
        <w:rPr>
          <w:rFonts w:ascii="Segoe UI" w:hAnsi="Segoe UI" w:cs="Segoe UI"/>
          <w:sz w:val="18"/>
          <w:szCs w:val="18"/>
        </w:rPr>
        <w:t>, resulting in computational complexity</w:t>
      </w:r>
      <w:r w:rsidR="005A114B">
        <w:rPr>
          <w:rFonts w:ascii="Segoe UI" w:hAnsi="Segoe UI" w:cs="Segoe UI"/>
          <w:sz w:val="18"/>
          <w:szCs w:val="18"/>
        </w:rPr>
        <w:t xml:space="preserve"> and onerous operational and financial costs.</w:t>
      </w:r>
    </w:p>
    <w:p w14:paraId="605BCD78" w14:textId="2B9D4B02" w:rsidR="001A46A0" w:rsidRDefault="007C7D1B" w:rsidP="00EC6083">
      <w:pPr>
        <w:pStyle w:val="paragraph"/>
        <w:ind w:left="1440"/>
        <w:textAlignment w:val="baseline"/>
        <w:rPr>
          <w:rFonts w:ascii="Segoe UI" w:hAnsi="Segoe UI" w:cs="Segoe UI"/>
          <w:sz w:val="18"/>
          <w:szCs w:val="18"/>
        </w:rPr>
      </w:pPr>
      <w:r w:rsidRPr="00880D3F">
        <w:rPr>
          <w:rFonts w:ascii="Segoe UI" w:hAnsi="Segoe UI" w:cs="Segoe UI"/>
          <w:sz w:val="18"/>
          <w:szCs w:val="18"/>
        </w:rPr>
        <w:t>Therefore, t</w:t>
      </w:r>
      <w:r w:rsidR="00E10331" w:rsidRPr="00880D3F">
        <w:rPr>
          <w:rFonts w:ascii="Segoe UI" w:hAnsi="Segoe UI" w:cs="Segoe UI"/>
          <w:sz w:val="18"/>
          <w:szCs w:val="18"/>
        </w:rPr>
        <w:t>he WFE cautions against mandating the</w:t>
      </w:r>
      <w:r w:rsidR="00C5734E" w:rsidRPr="00880D3F">
        <w:rPr>
          <w:rFonts w:ascii="Segoe UI" w:hAnsi="Segoe UI" w:cs="Segoe UI"/>
          <w:sz w:val="18"/>
          <w:szCs w:val="18"/>
        </w:rPr>
        <w:t xml:space="preserve"> scope of margin tools to enable simulation for</w:t>
      </w:r>
      <w:r w:rsidR="00BB1213" w:rsidRPr="00880D3F">
        <w:rPr>
          <w:rFonts w:ascii="Segoe UI" w:hAnsi="Segoe UI" w:cs="Segoe UI"/>
          <w:sz w:val="18"/>
          <w:szCs w:val="18"/>
        </w:rPr>
        <w:t xml:space="preserve"> </w:t>
      </w:r>
      <w:r w:rsidR="004F0A78">
        <w:rPr>
          <w:rFonts w:ascii="Segoe UI" w:hAnsi="Segoe UI" w:cs="Segoe UI"/>
          <w:sz w:val="18"/>
          <w:szCs w:val="18"/>
        </w:rPr>
        <w:t xml:space="preserve">historical and hypothetical scenarios, as well as </w:t>
      </w:r>
      <w:r w:rsidR="00BB1213" w:rsidRPr="00880D3F">
        <w:rPr>
          <w:rFonts w:ascii="Segoe UI" w:hAnsi="Segoe UI" w:cs="Segoe UI"/>
          <w:sz w:val="18"/>
          <w:szCs w:val="18"/>
        </w:rPr>
        <w:t>custom</w:t>
      </w:r>
      <w:r w:rsidR="00C5734E" w:rsidRPr="00880D3F">
        <w:rPr>
          <w:rFonts w:ascii="Segoe UI" w:hAnsi="Segoe UI" w:cs="Segoe UI"/>
          <w:sz w:val="18"/>
          <w:szCs w:val="18"/>
        </w:rPr>
        <w:t xml:space="preserve"> scenarios. If such </w:t>
      </w:r>
      <w:r w:rsidR="00980CC2" w:rsidRPr="00880D3F">
        <w:rPr>
          <w:rFonts w:ascii="Segoe UI" w:hAnsi="Segoe UI" w:cs="Segoe UI"/>
          <w:sz w:val="18"/>
          <w:szCs w:val="18"/>
        </w:rPr>
        <w:t xml:space="preserve">a </w:t>
      </w:r>
      <w:r w:rsidR="00C5734E" w:rsidRPr="00880D3F">
        <w:rPr>
          <w:rFonts w:ascii="Segoe UI" w:hAnsi="Segoe UI" w:cs="Segoe UI"/>
          <w:sz w:val="18"/>
          <w:szCs w:val="18"/>
        </w:rPr>
        <w:t xml:space="preserve">capability were </w:t>
      </w:r>
      <w:r w:rsidR="007A50E8">
        <w:rPr>
          <w:rFonts w:ascii="Segoe UI" w:hAnsi="Segoe UI" w:cs="Segoe UI"/>
          <w:sz w:val="18"/>
          <w:szCs w:val="18"/>
        </w:rPr>
        <w:t>expected</w:t>
      </w:r>
      <w:r w:rsidR="007A50E8" w:rsidRPr="00880D3F">
        <w:rPr>
          <w:rFonts w:ascii="Segoe UI" w:hAnsi="Segoe UI" w:cs="Segoe UI"/>
          <w:sz w:val="18"/>
          <w:szCs w:val="18"/>
        </w:rPr>
        <w:t xml:space="preserve"> </w:t>
      </w:r>
      <w:r w:rsidR="00C5734E" w:rsidRPr="00880D3F">
        <w:rPr>
          <w:rFonts w:ascii="Segoe UI" w:hAnsi="Segoe UI" w:cs="Segoe UI"/>
          <w:sz w:val="18"/>
          <w:szCs w:val="18"/>
        </w:rPr>
        <w:t xml:space="preserve">by </w:t>
      </w:r>
      <w:r w:rsidR="00980CC2" w:rsidRPr="00880D3F">
        <w:rPr>
          <w:rFonts w:ascii="Segoe UI" w:hAnsi="Segoe UI" w:cs="Segoe UI"/>
          <w:sz w:val="18"/>
          <w:szCs w:val="18"/>
        </w:rPr>
        <w:t>future guidance</w:t>
      </w:r>
      <w:r w:rsidR="00C5734E" w:rsidRPr="00880D3F">
        <w:rPr>
          <w:rFonts w:ascii="Segoe UI" w:hAnsi="Segoe UI" w:cs="Segoe UI"/>
          <w:sz w:val="18"/>
          <w:szCs w:val="18"/>
        </w:rPr>
        <w:t xml:space="preserve">, the development costs for CCPs would </w:t>
      </w:r>
      <w:r w:rsidRPr="00880D3F">
        <w:rPr>
          <w:rFonts w:ascii="Segoe UI" w:hAnsi="Segoe UI" w:cs="Segoe UI"/>
          <w:sz w:val="18"/>
          <w:szCs w:val="18"/>
        </w:rPr>
        <w:t xml:space="preserve">likely </w:t>
      </w:r>
      <w:r w:rsidR="00C5734E" w:rsidRPr="00880D3F">
        <w:rPr>
          <w:rFonts w:ascii="Segoe UI" w:hAnsi="Segoe UI" w:cs="Segoe UI"/>
          <w:sz w:val="18"/>
          <w:szCs w:val="18"/>
        </w:rPr>
        <w:t xml:space="preserve">outweigh </w:t>
      </w:r>
      <w:r w:rsidR="00980CC2" w:rsidRPr="00880D3F">
        <w:rPr>
          <w:rFonts w:ascii="Segoe UI" w:hAnsi="Segoe UI" w:cs="Segoe UI"/>
          <w:sz w:val="18"/>
          <w:szCs w:val="18"/>
        </w:rPr>
        <w:t>the</w:t>
      </w:r>
      <w:r w:rsidR="00C5734E" w:rsidRPr="00880D3F">
        <w:rPr>
          <w:rFonts w:ascii="Segoe UI" w:hAnsi="Segoe UI" w:cs="Segoe UI"/>
          <w:sz w:val="18"/>
          <w:szCs w:val="18"/>
        </w:rPr>
        <w:t xml:space="preserve"> benefits</w:t>
      </w:r>
      <w:r w:rsidR="004F0A78">
        <w:rPr>
          <w:rFonts w:ascii="Segoe UI" w:hAnsi="Segoe UI" w:cs="Segoe UI"/>
          <w:sz w:val="18"/>
          <w:szCs w:val="18"/>
        </w:rPr>
        <w:t xml:space="preserve">, particularly, given the </w:t>
      </w:r>
      <w:r w:rsidR="00F83271">
        <w:rPr>
          <w:rFonts w:ascii="Segoe UI" w:hAnsi="Segoe UI" w:cs="Segoe UI"/>
          <w:sz w:val="18"/>
          <w:szCs w:val="18"/>
        </w:rPr>
        <w:t xml:space="preserve">diversity that arises because of the </w:t>
      </w:r>
      <w:r w:rsidR="004F0A78">
        <w:rPr>
          <w:rFonts w:ascii="Segoe UI" w:hAnsi="Segoe UI" w:cs="Segoe UI"/>
          <w:sz w:val="18"/>
          <w:szCs w:val="18"/>
        </w:rPr>
        <w:t xml:space="preserve">unique nature of each market participant’s portfolio.  </w:t>
      </w:r>
      <w:r w:rsidR="005A114B">
        <w:rPr>
          <w:rFonts w:ascii="Segoe UI" w:hAnsi="Segoe UI" w:cs="Segoe UI"/>
          <w:sz w:val="18"/>
          <w:szCs w:val="18"/>
        </w:rPr>
        <w:t>M</w:t>
      </w:r>
      <w:r w:rsidR="004F0A78">
        <w:rPr>
          <w:rFonts w:ascii="Segoe UI" w:hAnsi="Segoe UI" w:cs="Segoe UI"/>
          <w:sz w:val="18"/>
          <w:szCs w:val="18"/>
        </w:rPr>
        <w:t xml:space="preserve">ore broadly, it’s unclear if market participants would </w:t>
      </w:r>
      <w:proofErr w:type="gramStart"/>
      <w:r w:rsidR="004F0A78">
        <w:rPr>
          <w:rFonts w:ascii="Segoe UI" w:hAnsi="Segoe UI" w:cs="Segoe UI"/>
          <w:sz w:val="18"/>
          <w:szCs w:val="18"/>
        </w:rPr>
        <w:t>actually use</w:t>
      </w:r>
      <w:proofErr w:type="gramEnd"/>
      <w:r w:rsidR="004F0A78">
        <w:rPr>
          <w:rFonts w:ascii="Segoe UI" w:hAnsi="Segoe UI" w:cs="Segoe UI"/>
          <w:sz w:val="18"/>
          <w:szCs w:val="18"/>
        </w:rPr>
        <w:t xml:space="preserve"> these </w:t>
      </w:r>
      <w:r w:rsidR="007A50E8">
        <w:rPr>
          <w:rFonts w:ascii="Segoe UI" w:hAnsi="Segoe UI" w:cs="Segoe UI"/>
          <w:sz w:val="18"/>
          <w:szCs w:val="18"/>
        </w:rPr>
        <w:t xml:space="preserve">simulators with this scenario analysis functionality </w:t>
      </w:r>
      <w:r w:rsidR="004F0A78">
        <w:rPr>
          <w:rFonts w:ascii="Segoe UI" w:hAnsi="Segoe UI" w:cs="Segoe UI"/>
          <w:sz w:val="18"/>
          <w:szCs w:val="18"/>
        </w:rPr>
        <w:t>to analyse their portfolios</w:t>
      </w:r>
      <w:r w:rsidR="00D877D6" w:rsidRPr="00880D3F">
        <w:rPr>
          <w:rFonts w:ascii="Segoe UI" w:hAnsi="Segoe UI" w:cs="Segoe UI"/>
          <w:sz w:val="18"/>
          <w:szCs w:val="18"/>
        </w:rPr>
        <w:t>.</w:t>
      </w:r>
      <w:r w:rsidR="00EC6083">
        <w:rPr>
          <w:rFonts w:ascii="Segoe UI" w:hAnsi="Segoe UI" w:cs="Segoe UI"/>
          <w:sz w:val="18"/>
          <w:szCs w:val="18"/>
        </w:rPr>
        <w:t xml:space="preserve"> </w:t>
      </w:r>
      <w:r w:rsidR="001A46A0" w:rsidRPr="00880D3F">
        <w:rPr>
          <w:rFonts w:ascii="Segoe UI" w:hAnsi="Segoe UI" w:cs="Segoe UI"/>
          <w:sz w:val="18"/>
          <w:szCs w:val="18"/>
        </w:rPr>
        <w:t>It is</w:t>
      </w:r>
      <w:r w:rsidR="00EC6083">
        <w:rPr>
          <w:rFonts w:ascii="Segoe UI" w:hAnsi="Segoe UI" w:cs="Segoe UI"/>
          <w:sz w:val="18"/>
          <w:szCs w:val="18"/>
        </w:rPr>
        <w:t xml:space="preserve"> also</w:t>
      </w:r>
      <w:r w:rsidR="001A46A0" w:rsidRPr="00880D3F">
        <w:rPr>
          <w:rFonts w:ascii="Segoe UI" w:hAnsi="Segoe UI" w:cs="Segoe UI"/>
          <w:sz w:val="18"/>
          <w:szCs w:val="18"/>
        </w:rPr>
        <w:t xml:space="preserve"> important to bear in mind the purpose of simulation. It is meant to be illustrative (informative), not exhaustive</w:t>
      </w:r>
      <w:r w:rsidR="004F0A78">
        <w:rPr>
          <w:rFonts w:ascii="Segoe UI" w:hAnsi="Segoe UI" w:cs="Segoe UI"/>
          <w:sz w:val="18"/>
          <w:szCs w:val="18"/>
        </w:rPr>
        <w:t xml:space="preserve"> of every market permutation</w:t>
      </w:r>
      <w:r w:rsidR="001A46A0" w:rsidRPr="00880D3F">
        <w:rPr>
          <w:rFonts w:ascii="Segoe UI" w:hAnsi="Segoe UI" w:cs="Segoe UI"/>
          <w:sz w:val="18"/>
          <w:szCs w:val="18"/>
        </w:rPr>
        <w:t xml:space="preserve">. </w:t>
      </w:r>
      <w:r w:rsidR="00544BA9">
        <w:rPr>
          <w:rFonts w:ascii="Segoe UI" w:hAnsi="Segoe UI" w:cs="Segoe UI"/>
          <w:sz w:val="18"/>
          <w:szCs w:val="18"/>
        </w:rPr>
        <w:t xml:space="preserve">It </w:t>
      </w:r>
      <w:r w:rsidR="005B3D70" w:rsidRPr="005B3D70">
        <w:rPr>
          <w:rFonts w:ascii="Segoe UI" w:hAnsi="Segoe UI" w:cs="Segoe UI"/>
          <w:sz w:val="18"/>
          <w:szCs w:val="18"/>
        </w:rPr>
        <w:t xml:space="preserve">needs to be clear to </w:t>
      </w:r>
      <w:r w:rsidR="007A50E8">
        <w:rPr>
          <w:rFonts w:ascii="Segoe UI" w:hAnsi="Segoe UI" w:cs="Segoe UI"/>
          <w:sz w:val="18"/>
          <w:szCs w:val="18"/>
        </w:rPr>
        <w:t>market participants</w:t>
      </w:r>
      <w:r w:rsidR="005B3D70" w:rsidRPr="005B3D70">
        <w:rPr>
          <w:rFonts w:ascii="Segoe UI" w:hAnsi="Segoe UI" w:cs="Segoe UI"/>
          <w:sz w:val="18"/>
          <w:szCs w:val="18"/>
        </w:rPr>
        <w:t xml:space="preserve"> that margin simulators are not </w:t>
      </w:r>
      <w:r w:rsidR="007A50E8">
        <w:rPr>
          <w:rFonts w:ascii="Segoe UI" w:hAnsi="Segoe UI" w:cs="Segoe UI"/>
          <w:sz w:val="18"/>
          <w:szCs w:val="18"/>
        </w:rPr>
        <w:t>indicative of a definitive outcome</w:t>
      </w:r>
      <w:r w:rsidR="00544BA9">
        <w:rPr>
          <w:rFonts w:ascii="Segoe UI" w:hAnsi="Segoe UI" w:cs="Segoe UI"/>
          <w:sz w:val="18"/>
          <w:szCs w:val="18"/>
        </w:rPr>
        <w:t xml:space="preserve">, and that </w:t>
      </w:r>
      <w:r w:rsidR="005B3D70" w:rsidRPr="005B3D70">
        <w:rPr>
          <w:rFonts w:ascii="Segoe UI" w:hAnsi="Segoe UI" w:cs="Segoe UI"/>
          <w:sz w:val="18"/>
          <w:szCs w:val="18"/>
        </w:rPr>
        <w:t>CCPs must still have discretion when it comes to initial margin</w:t>
      </w:r>
      <w:r w:rsidR="00544BA9">
        <w:rPr>
          <w:rFonts w:ascii="Segoe UI" w:hAnsi="Segoe UI" w:cs="Segoe UI"/>
          <w:sz w:val="18"/>
          <w:szCs w:val="18"/>
        </w:rPr>
        <w:t xml:space="preserve"> requirements.</w:t>
      </w:r>
    </w:p>
    <w:p w14:paraId="6984DCB3" w14:textId="09A97A8C" w:rsidR="001E7EC5" w:rsidRPr="00880D3F" w:rsidRDefault="00153BD7" w:rsidP="00AA2492">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Are there any elements of the initial margin calculation (</w:t>
      </w:r>
      <w:proofErr w:type="spellStart"/>
      <w:r w:rsidRPr="00880D3F">
        <w:rPr>
          <w:rFonts w:ascii="Segoe UI" w:hAnsi="Segoe UI" w:cs="Segoe UI"/>
          <w:b/>
          <w:bCs/>
          <w:sz w:val="18"/>
          <w:szCs w:val="18"/>
        </w:rPr>
        <w:t>eg</w:t>
      </w:r>
      <w:proofErr w:type="spellEnd"/>
      <w:r w:rsidRPr="00880D3F">
        <w:rPr>
          <w:rFonts w:ascii="Segoe UI" w:hAnsi="Segoe UI" w:cs="Segoe UI"/>
          <w:b/>
          <w:bCs/>
          <w:sz w:val="18"/>
          <w:szCs w:val="18"/>
        </w:rPr>
        <w:t xml:space="preserve"> add-ons) which would be difficult to incorporate into a standardised simulation tool? If so, what are the relevant challenges?</w:t>
      </w:r>
      <w:r w:rsidR="00A754F4" w:rsidRPr="00880D3F">
        <w:rPr>
          <w:rFonts w:ascii="Segoe UI" w:hAnsi="Segoe UI" w:cs="Segoe UI"/>
          <w:b/>
          <w:bCs/>
          <w:sz w:val="18"/>
          <w:szCs w:val="18"/>
        </w:rPr>
        <w:br/>
      </w:r>
      <w:r w:rsidR="00FD59DF" w:rsidRPr="00880D3F">
        <w:rPr>
          <w:rFonts w:ascii="Segoe UI" w:hAnsi="Segoe UI" w:cs="Segoe UI"/>
          <w:b/>
          <w:bCs/>
          <w:sz w:val="18"/>
          <w:szCs w:val="18"/>
        </w:rPr>
        <w:br/>
      </w:r>
      <w:r w:rsidR="000B4409" w:rsidRPr="000B4409">
        <w:rPr>
          <w:rFonts w:ascii="Segoe UI" w:hAnsi="Segoe UI" w:cs="Segoe UI"/>
          <w:sz w:val="18"/>
          <w:szCs w:val="18"/>
        </w:rPr>
        <w:t>We believe the incorporation of add-ons is dependent on the given CCP and the specific features of the margin model. For example, some add-ons that are embedded into the margin model may be easy to incorporate, but other add-ons that are discretionary in nature o</w:t>
      </w:r>
      <w:r w:rsidR="007A50E8">
        <w:rPr>
          <w:rFonts w:ascii="Segoe UI" w:hAnsi="Segoe UI" w:cs="Segoe UI"/>
          <w:sz w:val="18"/>
          <w:szCs w:val="18"/>
        </w:rPr>
        <w:t>r</w:t>
      </w:r>
      <w:r w:rsidR="000B4409" w:rsidRPr="000B4409">
        <w:rPr>
          <w:rFonts w:ascii="Segoe UI" w:hAnsi="Segoe UI" w:cs="Segoe UI"/>
          <w:sz w:val="18"/>
          <w:szCs w:val="18"/>
        </w:rPr>
        <w:t xml:space="preserve"> calibrated outside of a CCP's core margin model (e.g., add-ons related to </w:t>
      </w:r>
      <w:r w:rsidR="008A2A61">
        <w:rPr>
          <w:rFonts w:ascii="Segoe UI" w:hAnsi="Segoe UI" w:cs="Segoe UI"/>
          <w:sz w:val="18"/>
          <w:szCs w:val="18"/>
        </w:rPr>
        <w:t xml:space="preserve">counterparty creditworthiness or </w:t>
      </w:r>
      <w:r w:rsidR="000B4409" w:rsidRPr="000B4409">
        <w:rPr>
          <w:rFonts w:ascii="Segoe UI" w:hAnsi="Segoe UI" w:cs="Segoe UI"/>
          <w:sz w:val="18"/>
          <w:szCs w:val="18"/>
        </w:rPr>
        <w:t>stress testing results</w:t>
      </w:r>
      <w:r w:rsidR="00294518">
        <w:rPr>
          <w:rFonts w:ascii="Segoe UI" w:hAnsi="Segoe UI" w:cs="Segoe UI"/>
          <w:sz w:val="18"/>
          <w:szCs w:val="18"/>
        </w:rPr>
        <w:t>,</w:t>
      </w:r>
      <w:r w:rsidR="007A50E8">
        <w:rPr>
          <w:rFonts w:ascii="Segoe UI" w:hAnsi="Segoe UI" w:cs="Segoe UI"/>
          <w:sz w:val="18"/>
          <w:szCs w:val="18"/>
        </w:rPr>
        <w:t xml:space="preserve"> or participating in extended trading hours</w:t>
      </w:r>
      <w:r w:rsidR="000B4409" w:rsidRPr="000B4409">
        <w:rPr>
          <w:rFonts w:ascii="Segoe UI" w:hAnsi="Segoe UI" w:cs="Segoe UI"/>
          <w:sz w:val="18"/>
          <w:szCs w:val="18"/>
        </w:rPr>
        <w:t xml:space="preserve">) are challenging to incorporate. </w:t>
      </w:r>
      <w:r w:rsidR="00F279CB">
        <w:rPr>
          <w:rFonts w:ascii="Segoe UI" w:hAnsi="Segoe UI" w:cs="Segoe UI"/>
          <w:sz w:val="18"/>
          <w:szCs w:val="18"/>
        </w:rPr>
        <w:br/>
      </w:r>
      <w:r w:rsidR="00F279CB">
        <w:rPr>
          <w:rFonts w:ascii="Segoe UI" w:hAnsi="Segoe UI" w:cs="Segoe UI"/>
          <w:sz w:val="18"/>
          <w:szCs w:val="18"/>
        </w:rPr>
        <w:br/>
      </w:r>
      <w:r w:rsidR="00F279CB">
        <w:rPr>
          <w:rFonts w:ascii="Segoe UI" w:hAnsi="Segoe UI" w:cs="Segoe UI"/>
          <w:sz w:val="18"/>
          <w:szCs w:val="18"/>
        </w:rPr>
        <w:br/>
      </w:r>
      <w:r w:rsidR="00F279CB">
        <w:rPr>
          <w:rFonts w:ascii="Segoe UI" w:hAnsi="Segoe UI" w:cs="Segoe UI"/>
          <w:sz w:val="18"/>
          <w:szCs w:val="18"/>
        </w:rPr>
        <w:lastRenderedPageBreak/>
        <w:br/>
      </w:r>
    </w:p>
    <w:p w14:paraId="39856E1B" w14:textId="5A636368" w:rsidR="001E7EC5" w:rsidRPr="00880D3F" w:rsidRDefault="00153BD7" w:rsidP="001E7EC5">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t>Proposal 5 recommends a set of changes to the PQDs, further detailed in Table 5 of the report.</w:t>
      </w:r>
      <w:r w:rsidR="00431F15" w:rsidRPr="00880D3F">
        <w:rPr>
          <w:rFonts w:ascii="Segoe UI" w:hAnsi="Segoe UI" w:cs="Segoe UI"/>
          <w:b/>
          <w:bCs/>
          <w:sz w:val="18"/>
          <w:szCs w:val="18"/>
        </w:rPr>
        <w:t xml:space="preserve"> </w:t>
      </w:r>
      <w:r w:rsidR="00A754F4" w:rsidRPr="00880D3F">
        <w:rPr>
          <w:rFonts w:ascii="Segoe UI" w:hAnsi="Segoe UI" w:cs="Segoe UI"/>
          <w:b/>
          <w:bCs/>
          <w:sz w:val="18"/>
          <w:szCs w:val="18"/>
        </w:rPr>
        <w:br/>
      </w:r>
    </w:p>
    <w:p w14:paraId="7C488FD3" w14:textId="058A412E" w:rsidR="00796CF1" w:rsidRDefault="00153BD7" w:rsidP="00DF486E">
      <w:pPr>
        <w:pStyle w:val="paragraph"/>
        <w:numPr>
          <w:ilvl w:val="1"/>
          <w:numId w:val="23"/>
        </w:numPr>
        <w:textAlignment w:val="baseline"/>
        <w:rPr>
          <w:rFonts w:ascii="Segoe UI" w:hAnsi="Segoe UI" w:cs="Segoe UI"/>
          <w:sz w:val="18"/>
          <w:szCs w:val="18"/>
        </w:rPr>
      </w:pPr>
      <w:r w:rsidRPr="00880D3F">
        <w:rPr>
          <w:rFonts w:ascii="Segoe UI" w:hAnsi="Segoe UI" w:cs="Segoe UI"/>
          <w:b/>
          <w:bCs/>
          <w:sz w:val="18"/>
          <w:szCs w:val="18"/>
        </w:rPr>
        <w:t>With reference to Table 5, would the proposed additional data breakdowns and increased frequency of reporting facilitate market participants’ understanding of the margin system?</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844D4E" w:rsidRPr="00880D3F">
        <w:rPr>
          <w:rFonts w:ascii="Segoe UI" w:hAnsi="Segoe UI" w:cs="Segoe UI"/>
          <w:sz w:val="18"/>
          <w:szCs w:val="18"/>
        </w:rPr>
        <w:t>T</w:t>
      </w:r>
      <w:r w:rsidR="00872CF5" w:rsidRPr="00880D3F">
        <w:rPr>
          <w:rFonts w:ascii="Segoe UI" w:hAnsi="Segoe UI" w:cs="Segoe UI"/>
          <w:sz w:val="18"/>
          <w:szCs w:val="18"/>
        </w:rPr>
        <w:t xml:space="preserve">he WFE </w:t>
      </w:r>
      <w:r w:rsidR="00A70743" w:rsidRPr="00880D3F">
        <w:rPr>
          <w:rFonts w:ascii="Segoe UI" w:hAnsi="Segoe UI" w:cs="Segoe UI"/>
          <w:sz w:val="18"/>
          <w:szCs w:val="18"/>
        </w:rPr>
        <w:t xml:space="preserve">opposes the </w:t>
      </w:r>
      <w:r w:rsidR="00621624" w:rsidRPr="00880D3F">
        <w:rPr>
          <w:rFonts w:ascii="Segoe UI" w:hAnsi="Segoe UI" w:cs="Segoe UI"/>
          <w:sz w:val="18"/>
          <w:szCs w:val="18"/>
        </w:rPr>
        <w:t>proposal to</w:t>
      </w:r>
      <w:r w:rsidR="00844D4E" w:rsidRPr="00880D3F">
        <w:rPr>
          <w:rFonts w:ascii="Segoe UI" w:hAnsi="Segoe UI" w:cs="Segoe UI"/>
          <w:sz w:val="18"/>
          <w:szCs w:val="18"/>
        </w:rPr>
        <w:t xml:space="preserve"> mandate </w:t>
      </w:r>
      <w:r w:rsidR="00023557" w:rsidRPr="00880D3F">
        <w:rPr>
          <w:rFonts w:ascii="Segoe UI" w:hAnsi="Segoe UI" w:cs="Segoe UI"/>
          <w:sz w:val="18"/>
          <w:szCs w:val="18"/>
        </w:rPr>
        <w:t xml:space="preserve">the </w:t>
      </w:r>
      <w:r w:rsidR="00F5749E" w:rsidRPr="00880D3F">
        <w:rPr>
          <w:rFonts w:ascii="Segoe UI" w:hAnsi="Segoe UI" w:cs="Segoe UI"/>
          <w:sz w:val="18"/>
          <w:szCs w:val="18"/>
        </w:rPr>
        <w:t xml:space="preserve">monthly </w:t>
      </w:r>
      <w:r w:rsidR="00844D4E" w:rsidRPr="00880D3F">
        <w:rPr>
          <w:rFonts w:ascii="Segoe UI" w:hAnsi="Segoe UI" w:cs="Segoe UI"/>
          <w:sz w:val="18"/>
          <w:szCs w:val="18"/>
        </w:rPr>
        <w:t>reporting</w:t>
      </w:r>
      <w:r w:rsidR="00023557" w:rsidRPr="00880D3F">
        <w:rPr>
          <w:rFonts w:ascii="Segoe UI" w:hAnsi="Segoe UI" w:cs="Segoe UI"/>
          <w:sz w:val="18"/>
          <w:szCs w:val="18"/>
        </w:rPr>
        <w:t xml:space="preserve"> of </w:t>
      </w:r>
      <w:r w:rsidR="00AA00AC" w:rsidRPr="00880D3F">
        <w:rPr>
          <w:rFonts w:ascii="Segoe UI" w:hAnsi="Segoe UI" w:cs="Segoe UI"/>
          <w:sz w:val="18"/>
          <w:szCs w:val="18"/>
        </w:rPr>
        <w:t xml:space="preserve">product-level </w:t>
      </w:r>
      <w:r w:rsidR="00E228DB" w:rsidRPr="00880D3F">
        <w:rPr>
          <w:rFonts w:ascii="Segoe UI" w:hAnsi="Segoe UI" w:cs="Segoe UI"/>
          <w:sz w:val="18"/>
          <w:szCs w:val="18"/>
        </w:rPr>
        <w:t>back testing</w:t>
      </w:r>
      <w:r w:rsidR="002D214C">
        <w:rPr>
          <w:rFonts w:ascii="Segoe UI" w:hAnsi="Segoe UI" w:cs="Segoe UI"/>
          <w:sz w:val="18"/>
          <w:szCs w:val="18"/>
        </w:rPr>
        <w:t xml:space="preserve"> results</w:t>
      </w:r>
      <w:r w:rsidR="00796CF1">
        <w:rPr>
          <w:rFonts w:ascii="Segoe UI" w:hAnsi="Segoe UI" w:cs="Segoe UI"/>
          <w:sz w:val="18"/>
          <w:szCs w:val="18"/>
        </w:rPr>
        <w:t>, as WFE does not believe it would provide meaningful benefits for market participants.</w:t>
      </w:r>
      <w:r w:rsidR="002D214C">
        <w:t xml:space="preserve"> </w:t>
      </w:r>
      <w:r w:rsidR="00DE293F">
        <w:rPr>
          <w:rFonts w:ascii="Segoe UI" w:hAnsi="Segoe UI" w:cs="Segoe UI"/>
          <w:sz w:val="18"/>
          <w:szCs w:val="18"/>
        </w:rPr>
        <w:t>B</w:t>
      </w:r>
      <w:r w:rsidR="00DE293F" w:rsidRPr="00816A32">
        <w:rPr>
          <w:rFonts w:ascii="Segoe UI" w:hAnsi="Segoe UI" w:cs="Segoe UI"/>
          <w:sz w:val="18"/>
          <w:szCs w:val="18"/>
        </w:rPr>
        <w:t>ack testing</w:t>
      </w:r>
      <w:r w:rsidR="00816A32" w:rsidRPr="00816A32">
        <w:rPr>
          <w:rFonts w:ascii="Segoe UI" w:hAnsi="Segoe UI" w:cs="Segoe UI"/>
          <w:sz w:val="18"/>
          <w:szCs w:val="18"/>
        </w:rPr>
        <w:t xml:space="preserve"> at the portfolio-level</w:t>
      </w:r>
      <w:r w:rsidR="00796CF1">
        <w:rPr>
          <w:rFonts w:ascii="Segoe UI" w:hAnsi="Segoe UI" w:cs="Segoe UI"/>
          <w:sz w:val="18"/>
          <w:szCs w:val="18"/>
        </w:rPr>
        <w:t xml:space="preserve">, as is currently reported in the </w:t>
      </w:r>
      <w:proofErr w:type="gramStart"/>
      <w:r w:rsidR="00796CF1">
        <w:rPr>
          <w:rFonts w:ascii="Segoe UI" w:hAnsi="Segoe UI" w:cs="Segoe UI"/>
          <w:sz w:val="18"/>
          <w:szCs w:val="18"/>
        </w:rPr>
        <w:t xml:space="preserve">PQDs, </w:t>
      </w:r>
      <w:r w:rsidR="00816A32" w:rsidRPr="00816A32">
        <w:rPr>
          <w:rFonts w:ascii="Segoe UI" w:hAnsi="Segoe UI" w:cs="Segoe UI"/>
          <w:sz w:val="18"/>
          <w:szCs w:val="18"/>
        </w:rPr>
        <w:t xml:space="preserve"> is</w:t>
      </w:r>
      <w:proofErr w:type="gramEnd"/>
      <w:r w:rsidR="00816A32" w:rsidRPr="00816A32">
        <w:rPr>
          <w:rFonts w:ascii="Segoe UI" w:hAnsi="Segoe UI" w:cs="Segoe UI"/>
          <w:sz w:val="18"/>
          <w:szCs w:val="18"/>
        </w:rPr>
        <w:t xml:space="preserve"> of more value in a practical sense</w:t>
      </w:r>
      <w:r w:rsidR="00796CF1">
        <w:rPr>
          <w:rFonts w:ascii="Segoe UI" w:hAnsi="Segoe UI" w:cs="Segoe UI"/>
          <w:sz w:val="18"/>
          <w:szCs w:val="18"/>
        </w:rPr>
        <w:t xml:space="preserve">. One of the key benefits of central clearing is that CCPs margin at the portfolio-level, which allows for appropriate margin offsets to be provided across portfolios. Providing </w:t>
      </w:r>
      <w:proofErr w:type="spellStart"/>
      <w:r w:rsidR="00796CF1">
        <w:rPr>
          <w:rFonts w:ascii="Segoe UI" w:hAnsi="Segoe UI" w:cs="Segoe UI"/>
          <w:sz w:val="18"/>
          <w:szCs w:val="18"/>
        </w:rPr>
        <w:t>backtesting</w:t>
      </w:r>
      <w:proofErr w:type="spellEnd"/>
      <w:r w:rsidR="00796CF1">
        <w:rPr>
          <w:rFonts w:ascii="Segoe UI" w:hAnsi="Segoe UI" w:cs="Segoe UI"/>
          <w:sz w:val="18"/>
          <w:szCs w:val="18"/>
        </w:rPr>
        <w:t xml:space="preserve"> results at the portfolio-level ultimately provides the most useful information, as every portfolio is different, and ultimately influenced by all products that make up said portfolios</w:t>
      </w:r>
      <w:r w:rsidR="00816A32" w:rsidRPr="00816A32">
        <w:rPr>
          <w:rFonts w:ascii="Segoe UI" w:hAnsi="Segoe UI" w:cs="Segoe UI"/>
          <w:sz w:val="18"/>
          <w:szCs w:val="18"/>
        </w:rPr>
        <w:t xml:space="preserve">. </w:t>
      </w:r>
    </w:p>
    <w:p w14:paraId="53B2E44E" w14:textId="7AD66F64" w:rsidR="001E7EC5" w:rsidRPr="00796CF1" w:rsidRDefault="00A127F6" w:rsidP="00A708DB">
      <w:pPr>
        <w:pStyle w:val="paragraph"/>
        <w:ind w:left="1440"/>
        <w:textAlignment w:val="baseline"/>
        <w:rPr>
          <w:rFonts w:ascii="Segoe UI" w:hAnsi="Segoe UI" w:cs="Segoe UI"/>
          <w:sz w:val="18"/>
          <w:szCs w:val="18"/>
        </w:rPr>
      </w:pPr>
      <w:r w:rsidRPr="00796CF1">
        <w:rPr>
          <w:rFonts w:ascii="Segoe UI" w:hAnsi="Segoe UI" w:cs="Segoe UI"/>
          <w:sz w:val="18"/>
          <w:szCs w:val="18"/>
        </w:rPr>
        <w:t>The WFE also discourages the mandating of</w:t>
      </w:r>
      <w:r w:rsidR="00203E47" w:rsidRPr="00796CF1">
        <w:rPr>
          <w:rFonts w:ascii="Segoe UI" w:hAnsi="Segoe UI" w:cs="Segoe UI"/>
          <w:sz w:val="18"/>
          <w:szCs w:val="18"/>
        </w:rPr>
        <w:t xml:space="preserve"> daily reporting </w:t>
      </w:r>
      <w:r w:rsidR="00AA00AC" w:rsidRPr="00796CF1">
        <w:rPr>
          <w:rFonts w:ascii="Segoe UI" w:hAnsi="Segoe UI" w:cs="Segoe UI"/>
          <w:sz w:val="18"/>
          <w:szCs w:val="18"/>
        </w:rPr>
        <w:t>requirements</w:t>
      </w:r>
      <w:r w:rsidR="00CD7FB1" w:rsidRPr="00796CF1">
        <w:rPr>
          <w:rFonts w:ascii="Segoe UI" w:hAnsi="Segoe UI" w:cs="Segoe UI"/>
          <w:sz w:val="18"/>
          <w:szCs w:val="18"/>
        </w:rPr>
        <w:t xml:space="preserve"> for other fields, which</w:t>
      </w:r>
      <w:r w:rsidR="00AA00AC" w:rsidRPr="00796CF1">
        <w:rPr>
          <w:rFonts w:ascii="Segoe UI" w:hAnsi="Segoe UI" w:cs="Segoe UI"/>
          <w:sz w:val="18"/>
          <w:szCs w:val="18"/>
        </w:rPr>
        <w:t xml:space="preserve"> </w:t>
      </w:r>
      <w:r w:rsidR="00C453AC" w:rsidRPr="00796CF1">
        <w:rPr>
          <w:rFonts w:ascii="Segoe UI" w:hAnsi="Segoe UI" w:cs="Segoe UI"/>
          <w:sz w:val="18"/>
          <w:szCs w:val="18"/>
        </w:rPr>
        <w:t>would</w:t>
      </w:r>
      <w:r w:rsidR="00CD09E6" w:rsidRPr="00796CF1">
        <w:rPr>
          <w:rFonts w:ascii="Segoe UI" w:hAnsi="Segoe UI" w:cs="Segoe UI"/>
          <w:sz w:val="18"/>
          <w:szCs w:val="18"/>
        </w:rPr>
        <w:t xml:space="preserve"> also</w:t>
      </w:r>
      <w:r w:rsidR="00C453AC" w:rsidRPr="00796CF1">
        <w:rPr>
          <w:rFonts w:ascii="Segoe UI" w:hAnsi="Segoe UI" w:cs="Segoe UI"/>
          <w:sz w:val="18"/>
          <w:szCs w:val="18"/>
        </w:rPr>
        <w:t xml:space="preserve"> place</w:t>
      </w:r>
      <w:r w:rsidR="00DB0C4C" w:rsidRPr="00796CF1">
        <w:rPr>
          <w:rFonts w:ascii="Segoe UI" w:hAnsi="Segoe UI" w:cs="Segoe UI"/>
          <w:sz w:val="18"/>
          <w:szCs w:val="18"/>
        </w:rPr>
        <w:t xml:space="preserve"> </w:t>
      </w:r>
      <w:r w:rsidR="00C453AC" w:rsidRPr="00796CF1">
        <w:rPr>
          <w:rFonts w:ascii="Segoe UI" w:hAnsi="Segoe UI" w:cs="Segoe UI"/>
          <w:sz w:val="18"/>
          <w:szCs w:val="18"/>
        </w:rPr>
        <w:t xml:space="preserve">excessive </w:t>
      </w:r>
      <w:r w:rsidR="00796CF1">
        <w:rPr>
          <w:rFonts w:ascii="Segoe UI" w:hAnsi="Segoe UI" w:cs="Segoe UI"/>
          <w:sz w:val="18"/>
          <w:szCs w:val="18"/>
        </w:rPr>
        <w:t xml:space="preserve">operational and reporting </w:t>
      </w:r>
      <w:r w:rsidR="00C453AC" w:rsidRPr="00796CF1">
        <w:rPr>
          <w:rFonts w:ascii="Segoe UI" w:hAnsi="Segoe UI" w:cs="Segoe UI"/>
          <w:sz w:val="18"/>
          <w:szCs w:val="18"/>
        </w:rPr>
        <w:t xml:space="preserve">demands on </w:t>
      </w:r>
      <w:proofErr w:type="gramStart"/>
      <w:r w:rsidR="00C453AC" w:rsidRPr="00796CF1">
        <w:rPr>
          <w:rFonts w:ascii="Segoe UI" w:hAnsi="Segoe UI" w:cs="Segoe UI"/>
          <w:sz w:val="18"/>
          <w:szCs w:val="18"/>
        </w:rPr>
        <w:t xml:space="preserve">CCPs, </w:t>
      </w:r>
      <w:r w:rsidR="00CD7FB1" w:rsidRPr="00796CF1">
        <w:rPr>
          <w:rFonts w:ascii="Segoe UI" w:hAnsi="Segoe UI" w:cs="Segoe UI"/>
          <w:sz w:val="18"/>
          <w:szCs w:val="18"/>
        </w:rPr>
        <w:t>and</w:t>
      </w:r>
      <w:proofErr w:type="gramEnd"/>
      <w:r w:rsidR="00C744F1" w:rsidRPr="00796CF1">
        <w:rPr>
          <w:rFonts w:ascii="Segoe UI" w:hAnsi="Segoe UI" w:cs="Segoe UI"/>
          <w:sz w:val="18"/>
          <w:szCs w:val="18"/>
        </w:rPr>
        <w:t xml:space="preserve"> may </w:t>
      </w:r>
      <w:r w:rsidR="00006271" w:rsidRPr="00796CF1">
        <w:rPr>
          <w:rFonts w:ascii="Segoe UI" w:hAnsi="Segoe UI" w:cs="Segoe UI"/>
          <w:sz w:val="18"/>
          <w:szCs w:val="18"/>
        </w:rPr>
        <w:t>encourage</w:t>
      </w:r>
      <w:r w:rsidR="00C744F1" w:rsidRPr="00796CF1">
        <w:rPr>
          <w:rFonts w:ascii="Segoe UI" w:hAnsi="Segoe UI" w:cs="Segoe UI"/>
          <w:sz w:val="18"/>
          <w:szCs w:val="18"/>
        </w:rPr>
        <w:t xml:space="preserve"> </w:t>
      </w:r>
      <w:r w:rsidR="001B5669" w:rsidRPr="00796CF1">
        <w:rPr>
          <w:rFonts w:ascii="Segoe UI" w:hAnsi="Segoe UI" w:cs="Segoe UI"/>
          <w:sz w:val="18"/>
          <w:szCs w:val="18"/>
        </w:rPr>
        <w:t xml:space="preserve">speculation in the market </w:t>
      </w:r>
      <w:r w:rsidR="00327420">
        <w:rPr>
          <w:rFonts w:ascii="Segoe UI" w:hAnsi="Segoe UI" w:cs="Segoe UI"/>
          <w:sz w:val="18"/>
          <w:szCs w:val="18"/>
        </w:rPr>
        <w:t xml:space="preserve">by </w:t>
      </w:r>
      <w:r w:rsidR="00FE5BB2">
        <w:rPr>
          <w:rFonts w:ascii="Segoe UI" w:hAnsi="Segoe UI" w:cs="Segoe UI"/>
          <w:sz w:val="18"/>
          <w:szCs w:val="18"/>
        </w:rPr>
        <w:t>allowing the reverse engineering of</w:t>
      </w:r>
      <w:r w:rsidR="00327420" w:rsidRPr="00796CF1">
        <w:rPr>
          <w:rFonts w:ascii="Segoe UI" w:hAnsi="Segoe UI" w:cs="Segoe UI"/>
          <w:sz w:val="18"/>
          <w:szCs w:val="18"/>
        </w:rPr>
        <w:t xml:space="preserve"> </w:t>
      </w:r>
      <w:r w:rsidR="00422E4F" w:rsidRPr="00796CF1">
        <w:rPr>
          <w:rFonts w:ascii="Segoe UI" w:hAnsi="Segoe UI" w:cs="Segoe UI"/>
          <w:sz w:val="18"/>
          <w:szCs w:val="18"/>
        </w:rPr>
        <w:t>concentrated</w:t>
      </w:r>
      <w:r w:rsidR="006B7731" w:rsidRPr="00796CF1">
        <w:rPr>
          <w:rFonts w:ascii="Segoe UI" w:hAnsi="Segoe UI" w:cs="Segoe UI"/>
          <w:sz w:val="18"/>
          <w:szCs w:val="18"/>
        </w:rPr>
        <w:t xml:space="preserve"> participant</w:t>
      </w:r>
      <w:r w:rsidR="00C744F1" w:rsidRPr="00796CF1">
        <w:rPr>
          <w:rFonts w:ascii="Segoe UI" w:hAnsi="Segoe UI" w:cs="Segoe UI"/>
          <w:sz w:val="18"/>
          <w:szCs w:val="18"/>
        </w:rPr>
        <w:t xml:space="preserve"> positions.</w:t>
      </w:r>
      <w:r w:rsidR="00C74A7C" w:rsidRPr="00796CF1">
        <w:rPr>
          <w:rFonts w:ascii="Segoe UI" w:hAnsi="Segoe UI" w:cs="Segoe UI"/>
          <w:sz w:val="18"/>
          <w:szCs w:val="18"/>
        </w:rPr>
        <w:t xml:space="preserve"> </w:t>
      </w:r>
      <w:r w:rsidR="00C14040" w:rsidRPr="00796CF1">
        <w:rPr>
          <w:rFonts w:ascii="Segoe UI" w:hAnsi="Segoe UI" w:cs="Segoe UI"/>
          <w:sz w:val="18"/>
          <w:szCs w:val="18"/>
        </w:rPr>
        <w:t xml:space="preserve">We believe that daily reporting </w:t>
      </w:r>
      <w:r w:rsidR="00D71F8C" w:rsidRPr="00796CF1">
        <w:rPr>
          <w:rFonts w:ascii="Segoe UI" w:hAnsi="Segoe UI" w:cs="Segoe UI"/>
          <w:sz w:val="18"/>
          <w:szCs w:val="18"/>
        </w:rPr>
        <w:t xml:space="preserve">requirements will force CCPs to output </w:t>
      </w:r>
      <w:r w:rsidR="00C14040" w:rsidRPr="00796CF1">
        <w:rPr>
          <w:rFonts w:ascii="Segoe UI" w:hAnsi="Segoe UI" w:cs="Segoe UI"/>
          <w:sz w:val="18"/>
          <w:szCs w:val="18"/>
        </w:rPr>
        <w:t xml:space="preserve">an </w:t>
      </w:r>
      <w:r w:rsidR="00D71F8C" w:rsidRPr="00796CF1">
        <w:rPr>
          <w:rFonts w:ascii="Segoe UI" w:hAnsi="Segoe UI" w:cs="Segoe UI"/>
          <w:sz w:val="18"/>
          <w:szCs w:val="18"/>
        </w:rPr>
        <w:t>indigestible</w:t>
      </w:r>
      <w:r w:rsidR="00E9347D" w:rsidRPr="00796CF1">
        <w:rPr>
          <w:rFonts w:ascii="Segoe UI" w:hAnsi="Segoe UI" w:cs="Segoe UI"/>
          <w:sz w:val="18"/>
          <w:szCs w:val="18"/>
        </w:rPr>
        <w:t xml:space="preserve"> </w:t>
      </w:r>
      <w:r w:rsidR="00D71F8C" w:rsidRPr="00796CF1">
        <w:rPr>
          <w:rFonts w:ascii="Segoe UI" w:hAnsi="Segoe UI" w:cs="Segoe UI"/>
          <w:sz w:val="18"/>
          <w:szCs w:val="18"/>
        </w:rPr>
        <w:t>amount</w:t>
      </w:r>
      <w:r w:rsidR="00C14040" w:rsidRPr="00796CF1">
        <w:rPr>
          <w:rFonts w:ascii="Segoe UI" w:hAnsi="Segoe UI" w:cs="Segoe UI"/>
          <w:sz w:val="18"/>
          <w:szCs w:val="18"/>
        </w:rPr>
        <w:t xml:space="preserve"> of information, and that t</w:t>
      </w:r>
      <w:r w:rsidR="00442FFE" w:rsidRPr="00796CF1">
        <w:rPr>
          <w:rFonts w:ascii="Segoe UI" w:hAnsi="Segoe UI" w:cs="Segoe UI"/>
          <w:sz w:val="18"/>
          <w:szCs w:val="18"/>
        </w:rPr>
        <w:t>he</w:t>
      </w:r>
      <w:r w:rsidR="00EC7EDA" w:rsidRPr="00796CF1">
        <w:rPr>
          <w:rFonts w:ascii="Segoe UI" w:hAnsi="Segoe UI" w:cs="Segoe UI"/>
          <w:sz w:val="18"/>
          <w:szCs w:val="18"/>
        </w:rPr>
        <w:t xml:space="preserve"> consultation </w:t>
      </w:r>
      <w:r w:rsidR="00442FFE" w:rsidRPr="00796CF1">
        <w:rPr>
          <w:rFonts w:ascii="Segoe UI" w:hAnsi="Segoe UI" w:cs="Segoe UI"/>
          <w:sz w:val="18"/>
          <w:szCs w:val="18"/>
        </w:rPr>
        <w:t xml:space="preserve">does not </w:t>
      </w:r>
      <w:r w:rsidR="00442FFE">
        <w:rPr>
          <w:rStyle w:val="cf01"/>
        </w:rPr>
        <w:t xml:space="preserve">clearly articulate how this is of </w:t>
      </w:r>
      <w:r w:rsidR="00EC7EDA">
        <w:rPr>
          <w:rStyle w:val="cf01"/>
        </w:rPr>
        <w:t>benefi</w:t>
      </w:r>
      <w:r w:rsidR="00442FFE">
        <w:rPr>
          <w:rStyle w:val="cf01"/>
        </w:rPr>
        <w:t>t</w:t>
      </w:r>
      <w:r w:rsidR="00EC7EDA">
        <w:rPr>
          <w:rStyle w:val="cf01"/>
        </w:rPr>
        <w:t xml:space="preserve"> from a liquidity preparedness perspective</w:t>
      </w:r>
      <w:r w:rsidR="00442FFE">
        <w:rPr>
          <w:rStyle w:val="cf01"/>
        </w:rPr>
        <w:t xml:space="preserve">. </w:t>
      </w:r>
      <w:r w:rsidR="00C74A7C" w:rsidRPr="00796CF1">
        <w:rPr>
          <w:rFonts w:ascii="Segoe UI" w:hAnsi="Segoe UI" w:cs="Segoe UI"/>
          <w:sz w:val="18"/>
          <w:szCs w:val="18"/>
        </w:rPr>
        <w:t xml:space="preserve">Therefore, the WFE recommends that </w:t>
      </w:r>
      <w:r w:rsidR="00422E4F" w:rsidRPr="00796CF1">
        <w:rPr>
          <w:rFonts w:ascii="Segoe UI" w:hAnsi="Segoe UI" w:cs="Segoe UI"/>
          <w:sz w:val="18"/>
          <w:szCs w:val="18"/>
        </w:rPr>
        <w:t xml:space="preserve">PQD publishing </w:t>
      </w:r>
      <w:r w:rsidR="003D0AE5" w:rsidRPr="00796CF1">
        <w:rPr>
          <w:rFonts w:ascii="Segoe UI" w:hAnsi="Segoe UI" w:cs="Segoe UI"/>
          <w:sz w:val="18"/>
          <w:szCs w:val="18"/>
        </w:rPr>
        <w:t>is maintained at the current</w:t>
      </w:r>
      <w:r w:rsidR="00E039C2" w:rsidRPr="00796CF1">
        <w:rPr>
          <w:rFonts w:ascii="Segoe UI" w:hAnsi="Segoe UI" w:cs="Segoe UI"/>
          <w:sz w:val="18"/>
          <w:szCs w:val="18"/>
        </w:rPr>
        <w:t xml:space="preserve"> quarterly frequency with a </w:t>
      </w:r>
      <w:r w:rsidR="00337492" w:rsidRPr="00796CF1">
        <w:rPr>
          <w:rFonts w:ascii="Segoe UI" w:hAnsi="Segoe UI" w:cs="Segoe UI"/>
          <w:sz w:val="18"/>
          <w:szCs w:val="18"/>
        </w:rPr>
        <w:t>two-month</w:t>
      </w:r>
      <w:r w:rsidR="00684B5B" w:rsidRPr="00796CF1">
        <w:rPr>
          <w:rFonts w:ascii="Segoe UI" w:hAnsi="Segoe UI" w:cs="Segoe UI"/>
          <w:sz w:val="18"/>
          <w:szCs w:val="18"/>
        </w:rPr>
        <w:t xml:space="preserve"> lag</w:t>
      </w:r>
      <w:r w:rsidR="00054A3C" w:rsidRPr="00796CF1">
        <w:rPr>
          <w:rFonts w:ascii="Segoe UI" w:hAnsi="Segoe UI" w:cs="Segoe UI"/>
          <w:sz w:val="18"/>
          <w:szCs w:val="18"/>
        </w:rPr>
        <w:t>, and</w:t>
      </w:r>
      <w:r w:rsidR="008423A9" w:rsidRPr="00796CF1">
        <w:rPr>
          <w:rFonts w:ascii="Segoe UI" w:hAnsi="Segoe UI" w:cs="Segoe UI"/>
          <w:sz w:val="18"/>
          <w:szCs w:val="18"/>
        </w:rPr>
        <w:t xml:space="preserve"> that the JWGM</w:t>
      </w:r>
      <w:r w:rsidR="00054A3C" w:rsidRPr="00796CF1">
        <w:rPr>
          <w:rFonts w:ascii="Segoe UI" w:hAnsi="Segoe UI" w:cs="Segoe UI"/>
          <w:sz w:val="18"/>
          <w:szCs w:val="18"/>
        </w:rPr>
        <w:t xml:space="preserve"> does not undertake </w:t>
      </w:r>
      <w:r w:rsidR="0052082A" w:rsidRPr="00796CF1">
        <w:rPr>
          <w:rFonts w:ascii="Segoe UI" w:hAnsi="Segoe UI" w:cs="Segoe UI"/>
          <w:sz w:val="18"/>
          <w:szCs w:val="18"/>
        </w:rPr>
        <w:t>further</w:t>
      </w:r>
      <w:r w:rsidR="00054A3C" w:rsidRPr="00796CF1">
        <w:rPr>
          <w:rFonts w:ascii="Segoe UI" w:hAnsi="Segoe UI" w:cs="Segoe UI"/>
          <w:sz w:val="18"/>
          <w:szCs w:val="18"/>
        </w:rPr>
        <w:t xml:space="preserve"> review of PQD</w:t>
      </w:r>
      <w:r w:rsidR="0052082A" w:rsidRPr="00796CF1">
        <w:rPr>
          <w:rFonts w:ascii="Segoe UI" w:hAnsi="Segoe UI" w:cs="Segoe UI"/>
          <w:sz w:val="18"/>
          <w:szCs w:val="18"/>
        </w:rPr>
        <w:t xml:space="preserve"> formatting </w:t>
      </w:r>
      <w:r w:rsidR="00054A3C" w:rsidRPr="00796CF1">
        <w:rPr>
          <w:rFonts w:ascii="Segoe UI" w:hAnsi="Segoe UI" w:cs="Segoe UI"/>
          <w:sz w:val="18"/>
          <w:szCs w:val="18"/>
        </w:rPr>
        <w:t>following completion of the Phase 2 margin work.</w:t>
      </w:r>
      <w:r w:rsidR="00CD0EC7" w:rsidRPr="00796CF1">
        <w:rPr>
          <w:rFonts w:ascii="Segoe UI" w:hAnsi="Segoe UI" w:cs="Segoe UI"/>
          <w:sz w:val="18"/>
          <w:szCs w:val="18"/>
        </w:rPr>
        <w:t xml:space="preserve"> We believe </w:t>
      </w:r>
      <w:r w:rsidR="007A50E8">
        <w:rPr>
          <w:rFonts w:ascii="Segoe UI" w:hAnsi="Segoe UI" w:cs="Segoe UI"/>
          <w:sz w:val="18"/>
          <w:szCs w:val="18"/>
        </w:rPr>
        <w:t xml:space="preserve">first and foremost </w:t>
      </w:r>
      <w:r w:rsidR="00CD0EC7" w:rsidRPr="00796CF1">
        <w:rPr>
          <w:rFonts w:ascii="Segoe UI" w:hAnsi="Segoe UI" w:cs="Segoe UI"/>
          <w:sz w:val="18"/>
          <w:szCs w:val="18"/>
        </w:rPr>
        <w:t xml:space="preserve">that </w:t>
      </w:r>
      <w:r w:rsidR="007B241F" w:rsidRPr="00796CF1">
        <w:rPr>
          <w:rFonts w:ascii="Segoe UI" w:hAnsi="Segoe UI" w:cs="Segoe UI"/>
          <w:sz w:val="18"/>
          <w:szCs w:val="18"/>
        </w:rPr>
        <w:t>the current reporting timeline provides a sufficient period for necessary review</w:t>
      </w:r>
      <w:r w:rsidR="007A50E8">
        <w:rPr>
          <w:rFonts w:ascii="Segoe UI" w:hAnsi="Segoe UI" w:cs="Segoe UI"/>
          <w:sz w:val="18"/>
          <w:szCs w:val="18"/>
        </w:rPr>
        <w:t xml:space="preserve"> and</w:t>
      </w:r>
      <w:r w:rsidR="007B241F" w:rsidRPr="00796CF1">
        <w:rPr>
          <w:rFonts w:ascii="Segoe UI" w:hAnsi="Segoe UI" w:cs="Segoe UI"/>
          <w:sz w:val="18"/>
          <w:szCs w:val="18"/>
        </w:rPr>
        <w:t xml:space="preserve"> promotes accuracy of publications</w:t>
      </w:r>
      <w:r w:rsidR="007A50E8">
        <w:rPr>
          <w:rFonts w:ascii="Segoe UI" w:hAnsi="Segoe UI" w:cs="Segoe UI"/>
          <w:sz w:val="18"/>
          <w:szCs w:val="18"/>
        </w:rPr>
        <w:t>. The current reporting timeline also</w:t>
      </w:r>
      <w:r w:rsidR="007B241F" w:rsidRPr="00796CF1">
        <w:rPr>
          <w:rFonts w:ascii="Segoe UI" w:hAnsi="Segoe UI" w:cs="Segoe UI"/>
          <w:sz w:val="18"/>
          <w:szCs w:val="18"/>
        </w:rPr>
        <w:t xml:space="preserve"> does not present problems with respect to public disclosures for CCPs that are publicly traded</w:t>
      </w:r>
      <w:r w:rsidR="00346DA5" w:rsidRPr="00796CF1">
        <w:rPr>
          <w:rFonts w:ascii="Segoe UI" w:hAnsi="Segoe UI" w:cs="Segoe UI"/>
          <w:sz w:val="18"/>
          <w:szCs w:val="18"/>
        </w:rPr>
        <w:t>,</w:t>
      </w:r>
      <w:r w:rsidR="007A50E8">
        <w:rPr>
          <w:rFonts w:ascii="Segoe UI" w:hAnsi="Segoe UI" w:cs="Segoe UI"/>
          <w:sz w:val="18"/>
          <w:szCs w:val="18"/>
        </w:rPr>
        <w:t xml:space="preserve"> which may occur if daily reporting is adopted, since </w:t>
      </w:r>
      <w:r w:rsidR="00334072">
        <w:rPr>
          <w:rFonts w:ascii="Segoe UI" w:hAnsi="Segoe UI" w:cs="Segoe UI"/>
          <w:sz w:val="18"/>
          <w:szCs w:val="18"/>
        </w:rPr>
        <w:t>financial statement disclosures for some CCPs include information on initial margin.</w:t>
      </w:r>
      <w:r w:rsidR="00346DA5" w:rsidRPr="00796CF1">
        <w:rPr>
          <w:rFonts w:ascii="Segoe UI" w:hAnsi="Segoe UI" w:cs="Segoe UI"/>
          <w:sz w:val="18"/>
          <w:szCs w:val="18"/>
        </w:rPr>
        <w:t xml:space="preserve"> </w:t>
      </w:r>
      <w:r w:rsidR="00334072">
        <w:rPr>
          <w:rFonts w:ascii="Segoe UI" w:hAnsi="Segoe UI" w:cs="Segoe UI"/>
          <w:sz w:val="18"/>
          <w:szCs w:val="18"/>
        </w:rPr>
        <w:t xml:space="preserve">Broadly, the current reporting timeline </w:t>
      </w:r>
      <w:r w:rsidR="00CD0EC7" w:rsidRPr="00796CF1">
        <w:rPr>
          <w:rFonts w:ascii="Segoe UI" w:hAnsi="Segoe UI" w:cs="Segoe UI"/>
          <w:sz w:val="18"/>
          <w:szCs w:val="18"/>
        </w:rPr>
        <w:t xml:space="preserve">is </w:t>
      </w:r>
      <w:r w:rsidR="00334072">
        <w:rPr>
          <w:rFonts w:ascii="Segoe UI" w:hAnsi="Segoe UI" w:cs="Segoe UI"/>
          <w:sz w:val="18"/>
          <w:szCs w:val="18"/>
        </w:rPr>
        <w:t xml:space="preserve">also </w:t>
      </w:r>
      <w:r w:rsidR="00CD0EC7" w:rsidRPr="00796CF1">
        <w:rPr>
          <w:rFonts w:ascii="Segoe UI" w:hAnsi="Segoe UI" w:cs="Segoe UI"/>
          <w:sz w:val="18"/>
          <w:szCs w:val="18"/>
        </w:rPr>
        <w:t>appropriate since CCPs do not change their margin methodologies on a frequent basis</w:t>
      </w:r>
      <w:r w:rsidR="00647019" w:rsidRPr="00796CF1">
        <w:rPr>
          <w:rFonts w:ascii="Segoe UI" w:hAnsi="Segoe UI" w:cs="Segoe UI"/>
          <w:sz w:val="18"/>
          <w:szCs w:val="18"/>
        </w:rPr>
        <w:t xml:space="preserve"> (</w:t>
      </w:r>
      <w:r w:rsidR="00CD0EC7" w:rsidRPr="00796CF1">
        <w:rPr>
          <w:rFonts w:ascii="Segoe UI" w:hAnsi="Segoe UI" w:cs="Segoe UI"/>
          <w:sz w:val="18"/>
          <w:szCs w:val="18"/>
        </w:rPr>
        <w:t>and when such changes do occur, they are typically subject to a public rule-filing process</w:t>
      </w:r>
      <w:r w:rsidR="00647019" w:rsidRPr="00796CF1">
        <w:rPr>
          <w:rFonts w:ascii="Segoe UI" w:hAnsi="Segoe UI" w:cs="Segoe UI"/>
          <w:sz w:val="18"/>
          <w:szCs w:val="18"/>
        </w:rPr>
        <w:t>)</w:t>
      </w:r>
      <w:r w:rsidR="00CD0EC7" w:rsidRPr="00796CF1">
        <w:rPr>
          <w:rFonts w:ascii="Segoe UI" w:hAnsi="Segoe UI" w:cs="Segoe UI"/>
          <w:sz w:val="18"/>
          <w:szCs w:val="18"/>
        </w:rPr>
        <w:t xml:space="preserve">. </w:t>
      </w:r>
      <w:r w:rsidR="00A754F4" w:rsidRPr="00796CF1">
        <w:rPr>
          <w:rFonts w:ascii="Segoe UI" w:hAnsi="Segoe UI" w:cs="Segoe UI"/>
          <w:sz w:val="18"/>
          <w:szCs w:val="18"/>
        </w:rPr>
        <w:br/>
      </w:r>
    </w:p>
    <w:p w14:paraId="2295095A" w14:textId="4B61ECD2" w:rsidR="001E7EC5" w:rsidRPr="00880D3F" w:rsidRDefault="00153BD7" w:rsidP="000606DA">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Would there be any challenges in providing the additional data breakdowns or higher reporting frequencies? If so, are there alternatives that would be equally effective? For instance, are there alternative modes of more frequent public disclosures that would achieve a similar goal but result in reduced burdens on CCPs?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AE77CA" w:rsidRPr="00880D3F">
        <w:rPr>
          <w:rFonts w:ascii="Segoe UI" w:hAnsi="Segoe UI" w:cs="Segoe UI"/>
          <w:sz w:val="18"/>
          <w:szCs w:val="18"/>
        </w:rPr>
        <w:t>See above</w:t>
      </w:r>
      <w:r w:rsidR="00EE6A48" w:rsidRPr="00EE6A48">
        <w:rPr>
          <w:rFonts w:ascii="Segoe UI" w:hAnsi="Segoe UI" w:cs="Segoe UI"/>
          <w:sz w:val="18"/>
          <w:szCs w:val="18"/>
        </w:rPr>
        <w:t>.</w:t>
      </w:r>
      <w:r w:rsidR="00A754F4" w:rsidRPr="00880D3F">
        <w:rPr>
          <w:rFonts w:ascii="Segoe UI" w:hAnsi="Segoe UI" w:cs="Segoe UI"/>
          <w:sz w:val="18"/>
          <w:szCs w:val="18"/>
        </w:rPr>
        <w:br/>
      </w:r>
    </w:p>
    <w:p w14:paraId="222F80D5" w14:textId="088C91D3" w:rsidR="001E7EC5" w:rsidRPr="00880D3F" w:rsidRDefault="00153BD7" w:rsidP="004A6F08">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Are there any additional amendments to the PQDs, beyond those set out in Table 5, that would help market participants and stakeholders understand or anticipate changes in margin requirements? What would this information be, and how could this information be effectively incorporated into the PQD framework? For instance, would there be value in including additional non-quantitative information in the PQDs related to margin changes?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5055F7" w:rsidRPr="00880D3F">
        <w:rPr>
          <w:rFonts w:ascii="Segoe UI" w:hAnsi="Segoe UI" w:cs="Segoe UI"/>
          <w:sz w:val="18"/>
          <w:szCs w:val="18"/>
        </w:rPr>
        <w:t xml:space="preserve">The WFE </w:t>
      </w:r>
      <w:r w:rsidR="00A865A5">
        <w:rPr>
          <w:rFonts w:ascii="Segoe UI" w:hAnsi="Segoe UI" w:cs="Segoe UI"/>
          <w:sz w:val="18"/>
          <w:szCs w:val="18"/>
        </w:rPr>
        <w:t>does not believe that any further amendments to the PQDs are necessary, including the ones proposed</w:t>
      </w:r>
      <w:r w:rsidR="001A46A0" w:rsidRPr="00880D3F">
        <w:rPr>
          <w:rFonts w:ascii="Segoe UI" w:hAnsi="Segoe UI" w:cs="Segoe UI"/>
          <w:sz w:val="18"/>
          <w:szCs w:val="18"/>
        </w:rPr>
        <w:t>.</w:t>
      </w:r>
      <w:r w:rsidR="00F2641D" w:rsidRPr="00880D3F">
        <w:rPr>
          <w:rFonts w:ascii="Segoe UI" w:hAnsi="Segoe UI" w:cs="Segoe UI"/>
          <w:sz w:val="18"/>
          <w:szCs w:val="18"/>
        </w:rPr>
        <w:t xml:space="preserve"> </w:t>
      </w:r>
      <w:r w:rsidR="001A46A0" w:rsidRPr="00880D3F">
        <w:rPr>
          <w:rFonts w:ascii="Segoe UI" w:hAnsi="Segoe UI" w:cs="Segoe UI"/>
          <w:sz w:val="18"/>
          <w:szCs w:val="18"/>
        </w:rPr>
        <w:t>R</w:t>
      </w:r>
      <w:r w:rsidR="005055F7" w:rsidRPr="00880D3F">
        <w:rPr>
          <w:rFonts w:ascii="Segoe UI" w:hAnsi="Segoe UI" w:cs="Segoe UI"/>
          <w:sz w:val="18"/>
          <w:szCs w:val="18"/>
        </w:rPr>
        <w:t xml:space="preserve">egardless of how much information CCPs disclose, </w:t>
      </w:r>
      <w:r w:rsidR="001A46A0" w:rsidRPr="00880D3F">
        <w:rPr>
          <w:rFonts w:ascii="Segoe UI" w:hAnsi="Segoe UI" w:cs="Segoe UI"/>
          <w:sz w:val="18"/>
          <w:szCs w:val="18"/>
        </w:rPr>
        <w:t xml:space="preserve">it is </w:t>
      </w:r>
      <w:r w:rsidR="005055F7" w:rsidRPr="00880D3F">
        <w:rPr>
          <w:rFonts w:ascii="Segoe UI" w:hAnsi="Segoe UI" w:cs="Segoe UI"/>
          <w:sz w:val="18"/>
          <w:szCs w:val="18"/>
        </w:rPr>
        <w:t xml:space="preserve">the willingness of market participants to use the available data to prepare for changes in margin levels </w:t>
      </w:r>
      <w:r w:rsidR="001A46A0" w:rsidRPr="00880D3F">
        <w:rPr>
          <w:rFonts w:ascii="Segoe UI" w:hAnsi="Segoe UI" w:cs="Segoe UI"/>
          <w:sz w:val="18"/>
          <w:szCs w:val="18"/>
        </w:rPr>
        <w:t xml:space="preserve">that </w:t>
      </w:r>
      <w:r w:rsidR="00064C45" w:rsidRPr="00880D3F">
        <w:rPr>
          <w:rFonts w:ascii="Segoe UI" w:hAnsi="Segoe UI" w:cs="Segoe UI"/>
          <w:sz w:val="18"/>
          <w:szCs w:val="18"/>
        </w:rPr>
        <w:t>remains</w:t>
      </w:r>
      <w:r w:rsidR="005055F7" w:rsidRPr="00880D3F">
        <w:rPr>
          <w:rFonts w:ascii="Segoe UI" w:hAnsi="Segoe UI" w:cs="Segoe UI"/>
          <w:sz w:val="18"/>
          <w:szCs w:val="18"/>
        </w:rPr>
        <w:t xml:space="preserve"> </w:t>
      </w:r>
      <w:r w:rsidR="001A46A0" w:rsidRPr="00880D3F">
        <w:rPr>
          <w:rFonts w:ascii="Segoe UI" w:hAnsi="Segoe UI" w:cs="Segoe UI"/>
          <w:sz w:val="18"/>
          <w:szCs w:val="18"/>
        </w:rPr>
        <w:t xml:space="preserve">the </w:t>
      </w:r>
      <w:r w:rsidR="005055F7" w:rsidRPr="00880D3F">
        <w:rPr>
          <w:rFonts w:ascii="Segoe UI" w:hAnsi="Segoe UI" w:cs="Segoe UI"/>
          <w:sz w:val="18"/>
          <w:szCs w:val="18"/>
        </w:rPr>
        <w:t>crucial</w:t>
      </w:r>
      <w:r w:rsidR="00064C45" w:rsidRPr="00880D3F">
        <w:rPr>
          <w:rFonts w:ascii="Segoe UI" w:hAnsi="Segoe UI" w:cs="Segoe UI"/>
          <w:sz w:val="18"/>
          <w:szCs w:val="18"/>
        </w:rPr>
        <w:t xml:space="preserve"> factor. </w:t>
      </w:r>
      <w:r w:rsidR="00372ECA">
        <w:rPr>
          <w:rFonts w:ascii="Segoe UI" w:hAnsi="Segoe UI" w:cs="Segoe UI"/>
          <w:sz w:val="18"/>
          <w:szCs w:val="18"/>
        </w:rPr>
        <w:t>A</w:t>
      </w:r>
      <w:r w:rsidR="00E013CD">
        <w:rPr>
          <w:rFonts w:ascii="Segoe UI" w:hAnsi="Segoe UI" w:cs="Segoe UI"/>
          <w:sz w:val="18"/>
          <w:szCs w:val="18"/>
        </w:rPr>
        <w:t>lthough</w:t>
      </w:r>
      <w:r w:rsidR="000E09B2">
        <w:rPr>
          <w:rFonts w:ascii="Segoe UI" w:hAnsi="Segoe UI" w:cs="Segoe UI"/>
          <w:sz w:val="18"/>
          <w:szCs w:val="18"/>
        </w:rPr>
        <w:t xml:space="preserve"> PQD</w:t>
      </w:r>
      <w:r w:rsidR="00E013CD">
        <w:rPr>
          <w:rFonts w:ascii="Segoe UI" w:hAnsi="Segoe UI" w:cs="Segoe UI"/>
          <w:sz w:val="18"/>
          <w:szCs w:val="18"/>
        </w:rPr>
        <w:t xml:space="preserve"> webinars are frequently offered by CCPs </w:t>
      </w:r>
      <w:proofErr w:type="gramStart"/>
      <w:r w:rsidR="00E013CD">
        <w:rPr>
          <w:rFonts w:ascii="Segoe UI" w:hAnsi="Segoe UI" w:cs="Segoe UI"/>
          <w:sz w:val="18"/>
          <w:szCs w:val="18"/>
        </w:rPr>
        <w:t>in order to</w:t>
      </w:r>
      <w:proofErr w:type="gramEnd"/>
      <w:r w:rsidR="00E013CD">
        <w:rPr>
          <w:rFonts w:ascii="Segoe UI" w:hAnsi="Segoe UI" w:cs="Segoe UI"/>
          <w:sz w:val="18"/>
          <w:szCs w:val="18"/>
        </w:rPr>
        <w:t xml:space="preserve"> discuss </w:t>
      </w:r>
      <w:r w:rsidR="000E09B2">
        <w:rPr>
          <w:rFonts w:ascii="Segoe UI" w:hAnsi="Segoe UI" w:cs="Segoe UI"/>
          <w:sz w:val="18"/>
          <w:szCs w:val="18"/>
        </w:rPr>
        <w:t>their reporting</w:t>
      </w:r>
      <w:r w:rsidR="001477D7">
        <w:rPr>
          <w:rFonts w:ascii="Segoe UI" w:hAnsi="Segoe UI" w:cs="Segoe UI"/>
          <w:sz w:val="18"/>
          <w:szCs w:val="18"/>
        </w:rPr>
        <w:t xml:space="preserve"> and margin methodology</w:t>
      </w:r>
      <w:r w:rsidR="00E013CD">
        <w:rPr>
          <w:rFonts w:ascii="Segoe UI" w:hAnsi="Segoe UI" w:cs="Segoe UI"/>
          <w:sz w:val="18"/>
          <w:szCs w:val="18"/>
        </w:rPr>
        <w:t>, these are sparsely attended</w:t>
      </w:r>
      <w:r w:rsidR="00A0728E" w:rsidRPr="00880D3F">
        <w:rPr>
          <w:rFonts w:ascii="Segoe UI" w:hAnsi="Segoe UI" w:cs="Segoe UI"/>
          <w:sz w:val="18"/>
          <w:szCs w:val="18"/>
        </w:rPr>
        <w:t>.</w:t>
      </w:r>
      <w:r w:rsidR="00FB18E0" w:rsidRPr="00880D3F">
        <w:rPr>
          <w:rFonts w:ascii="Segoe UI" w:hAnsi="Segoe UI" w:cs="Segoe UI"/>
          <w:sz w:val="18"/>
          <w:szCs w:val="18"/>
        </w:rPr>
        <w:t xml:space="preserve"> Therefore, </w:t>
      </w:r>
      <w:r w:rsidR="00781259" w:rsidRPr="00880D3F">
        <w:rPr>
          <w:rFonts w:ascii="Segoe UI" w:hAnsi="Segoe UI" w:cs="Segoe UI"/>
          <w:sz w:val="18"/>
          <w:szCs w:val="18"/>
        </w:rPr>
        <w:t xml:space="preserve">focusing on </w:t>
      </w:r>
      <w:r w:rsidR="00646E30" w:rsidRPr="00880D3F">
        <w:rPr>
          <w:rFonts w:ascii="Segoe UI" w:hAnsi="Segoe UI" w:cs="Segoe UI"/>
          <w:sz w:val="18"/>
          <w:szCs w:val="18"/>
        </w:rPr>
        <w:t>widening</w:t>
      </w:r>
      <w:r w:rsidR="00781259" w:rsidRPr="00880D3F">
        <w:rPr>
          <w:rFonts w:ascii="Segoe UI" w:hAnsi="Segoe UI" w:cs="Segoe UI"/>
          <w:sz w:val="18"/>
          <w:szCs w:val="18"/>
        </w:rPr>
        <w:t xml:space="preserve"> the use of existing tools </w:t>
      </w:r>
      <w:r w:rsidR="004A6F08" w:rsidRPr="00880D3F">
        <w:rPr>
          <w:rFonts w:ascii="Segoe UI" w:hAnsi="Segoe UI" w:cs="Segoe UI"/>
          <w:sz w:val="18"/>
          <w:szCs w:val="18"/>
        </w:rPr>
        <w:t>would likely have a great</w:t>
      </w:r>
      <w:r w:rsidR="00646E30" w:rsidRPr="00880D3F">
        <w:rPr>
          <w:rFonts w:ascii="Segoe UI" w:hAnsi="Segoe UI" w:cs="Segoe UI"/>
          <w:sz w:val="18"/>
          <w:szCs w:val="18"/>
        </w:rPr>
        <w:t>er</w:t>
      </w:r>
      <w:r w:rsidR="004A6F08" w:rsidRPr="00880D3F">
        <w:rPr>
          <w:rFonts w:ascii="Segoe UI" w:hAnsi="Segoe UI" w:cs="Segoe UI"/>
          <w:sz w:val="18"/>
          <w:szCs w:val="18"/>
        </w:rPr>
        <w:t xml:space="preserve"> effect on outcomes for end-users</w:t>
      </w:r>
      <w:r w:rsidR="00781259" w:rsidRPr="00880D3F">
        <w:rPr>
          <w:rFonts w:ascii="Segoe UI" w:hAnsi="Segoe UI" w:cs="Segoe UI"/>
          <w:sz w:val="18"/>
          <w:szCs w:val="18"/>
        </w:rPr>
        <w:t xml:space="preserve">. </w:t>
      </w:r>
      <w:r w:rsidR="00A754F4" w:rsidRPr="00880D3F">
        <w:rPr>
          <w:rFonts w:ascii="Segoe UI" w:hAnsi="Segoe UI" w:cs="Segoe UI"/>
          <w:b/>
          <w:bCs/>
          <w:sz w:val="18"/>
          <w:szCs w:val="18"/>
        </w:rPr>
        <w:br/>
      </w:r>
    </w:p>
    <w:p w14:paraId="1C57ADC0" w14:textId="274A04A9" w:rsidR="001E7EC5" w:rsidRPr="00880D3F" w:rsidRDefault="00153BD7" w:rsidP="001E7EC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Are there any examples of current public disclosures by one or more CCPs which could be used as a guide for improved transparency?</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1D3964" w:rsidRPr="00880D3F">
        <w:rPr>
          <w:rFonts w:ascii="Segoe UI" w:hAnsi="Segoe UI" w:cs="Segoe UI"/>
          <w:sz w:val="18"/>
          <w:szCs w:val="18"/>
        </w:rPr>
        <w:t>No comment.</w:t>
      </w:r>
      <w:r w:rsidR="00231C6F" w:rsidRPr="00880D3F">
        <w:rPr>
          <w:rFonts w:ascii="Segoe UI" w:hAnsi="Segoe UI" w:cs="Segoe UI"/>
          <w:b/>
          <w:bCs/>
          <w:sz w:val="18"/>
          <w:szCs w:val="18"/>
        </w:rPr>
        <w:br/>
      </w:r>
    </w:p>
    <w:p w14:paraId="12C5AF81" w14:textId="7F21CDC2" w:rsidR="001E7EC5" w:rsidRPr="00880D3F" w:rsidRDefault="00153BD7" w:rsidP="00AA2492">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lastRenderedPageBreak/>
        <w:t>Please review the analytical annex detailing the proposed design of a margin responsiveness metric, as described in Proposal 6.</w:t>
      </w:r>
      <w:r w:rsidR="00A754F4" w:rsidRPr="00880D3F">
        <w:rPr>
          <w:rFonts w:ascii="Segoe UI" w:hAnsi="Segoe UI" w:cs="Segoe UI"/>
          <w:b/>
          <w:bCs/>
          <w:sz w:val="18"/>
          <w:szCs w:val="18"/>
        </w:rPr>
        <w:br/>
      </w:r>
    </w:p>
    <w:p w14:paraId="03E872EC" w14:textId="0EAEBD16" w:rsidR="00E4605A" w:rsidRPr="00880D3F" w:rsidRDefault="00153BD7" w:rsidP="00292221">
      <w:pPr>
        <w:pStyle w:val="paragraph"/>
        <w:numPr>
          <w:ilvl w:val="1"/>
          <w:numId w:val="23"/>
        </w:numPr>
        <w:textAlignment w:val="baseline"/>
        <w:rPr>
          <w:rFonts w:ascii="Segoe UI" w:hAnsi="Segoe UI" w:cs="Segoe UI"/>
          <w:sz w:val="18"/>
          <w:szCs w:val="18"/>
        </w:rPr>
      </w:pPr>
      <w:r w:rsidRPr="00880D3F">
        <w:rPr>
          <w:rFonts w:ascii="Segoe UI" w:hAnsi="Segoe UI" w:cs="Segoe UI"/>
          <w:b/>
          <w:bCs/>
          <w:sz w:val="18"/>
          <w:szCs w:val="18"/>
        </w:rPr>
        <w:t>Is the proposed method for measuring margin responsiveness (</w:t>
      </w:r>
      <w:proofErr w:type="spellStart"/>
      <w:r w:rsidRPr="00880D3F">
        <w:rPr>
          <w:rFonts w:ascii="Segoe UI" w:hAnsi="Segoe UI" w:cs="Segoe UI"/>
          <w:b/>
          <w:bCs/>
          <w:sz w:val="18"/>
          <w:szCs w:val="18"/>
        </w:rPr>
        <w:t>ie</w:t>
      </w:r>
      <w:proofErr w:type="spellEnd"/>
      <w:r w:rsidRPr="00880D3F">
        <w:rPr>
          <w:rFonts w:ascii="Segoe UI" w:hAnsi="Segoe UI" w:cs="Segoe UI"/>
          <w:b/>
          <w:bCs/>
          <w:sz w:val="18"/>
          <w:szCs w:val="18"/>
        </w:rPr>
        <w:t xml:space="preserve"> a large call metric), alongside the associated change in volatility, an informative way of measuring responsiveness? If not, what alternative approach or methodology should be used, and why would that alternate approach better aid market participants in their liquidity planning?</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F62B21" w:rsidRPr="00F62B21">
        <w:rPr>
          <w:rFonts w:ascii="Segoe UI" w:hAnsi="Segoe UI" w:cs="Segoe UI"/>
          <w:sz w:val="18"/>
          <w:szCs w:val="18"/>
        </w:rPr>
        <w:t>The WFE do</w:t>
      </w:r>
      <w:r w:rsidR="00B23277">
        <w:rPr>
          <w:rFonts w:ascii="Segoe UI" w:hAnsi="Segoe UI" w:cs="Segoe UI"/>
          <w:sz w:val="18"/>
          <w:szCs w:val="18"/>
        </w:rPr>
        <w:t>es</w:t>
      </w:r>
      <w:r w:rsidR="00F62B21" w:rsidRPr="00F62B21">
        <w:rPr>
          <w:rFonts w:ascii="Segoe UI" w:hAnsi="Segoe UI" w:cs="Segoe UI"/>
          <w:sz w:val="18"/>
          <w:szCs w:val="18"/>
        </w:rPr>
        <w:t xml:space="preserve"> not agree that a standardised margin responsiveness metric will meet the report's goal </w:t>
      </w:r>
      <w:r w:rsidR="008E128B">
        <w:rPr>
          <w:rFonts w:ascii="Segoe UI" w:hAnsi="Segoe UI" w:cs="Segoe UI"/>
          <w:sz w:val="18"/>
          <w:szCs w:val="18"/>
        </w:rPr>
        <w:t>to assist</w:t>
      </w:r>
      <w:r w:rsidR="008E128B" w:rsidRPr="00F62B21">
        <w:rPr>
          <w:rFonts w:ascii="Segoe UI" w:hAnsi="Segoe UI" w:cs="Segoe UI"/>
          <w:sz w:val="18"/>
          <w:szCs w:val="18"/>
        </w:rPr>
        <w:t xml:space="preserve"> </w:t>
      </w:r>
      <w:r w:rsidR="00F62B21" w:rsidRPr="00F62B21">
        <w:rPr>
          <w:rFonts w:ascii="Segoe UI" w:hAnsi="Segoe UI" w:cs="Segoe UI"/>
          <w:sz w:val="18"/>
          <w:szCs w:val="18"/>
        </w:rPr>
        <w:t>with market participant liquidity preparedness</w:t>
      </w:r>
      <w:r w:rsidR="00F62B21">
        <w:rPr>
          <w:rFonts w:ascii="Segoe UI" w:hAnsi="Segoe UI" w:cs="Segoe UI"/>
          <w:sz w:val="18"/>
          <w:szCs w:val="18"/>
        </w:rPr>
        <w:t xml:space="preserve">. However, if a </w:t>
      </w:r>
      <w:r w:rsidR="00B23277">
        <w:rPr>
          <w:rFonts w:ascii="Segoe UI" w:hAnsi="Segoe UI" w:cs="Segoe UI"/>
          <w:sz w:val="18"/>
          <w:szCs w:val="18"/>
        </w:rPr>
        <w:t>metric must be used, g</w:t>
      </w:r>
      <w:r w:rsidR="00E04309">
        <w:rPr>
          <w:rFonts w:ascii="Segoe UI" w:hAnsi="Segoe UI" w:cs="Segoe UI"/>
          <w:sz w:val="18"/>
          <w:szCs w:val="18"/>
        </w:rPr>
        <w:t>iven the large diversity</w:t>
      </w:r>
      <w:r w:rsidR="00E04309" w:rsidRPr="008455BD">
        <w:rPr>
          <w:rFonts w:ascii="Segoe UI" w:hAnsi="Segoe UI" w:cs="Segoe UI"/>
          <w:sz w:val="18"/>
          <w:szCs w:val="18"/>
        </w:rPr>
        <w:t xml:space="preserve"> within the WFE membership</w:t>
      </w:r>
      <w:r w:rsidR="00E04309">
        <w:rPr>
          <w:rFonts w:ascii="Segoe UI" w:hAnsi="Segoe UI" w:cs="Segoe UI"/>
          <w:sz w:val="18"/>
          <w:szCs w:val="18"/>
        </w:rPr>
        <w:t>, we encourage</w:t>
      </w:r>
      <w:r w:rsidR="00E04309" w:rsidRPr="007B291E">
        <w:rPr>
          <w:rFonts w:ascii="Segoe UI" w:hAnsi="Segoe UI" w:cs="Segoe UI"/>
          <w:sz w:val="18"/>
          <w:szCs w:val="18"/>
        </w:rPr>
        <w:t xml:space="preserve"> </w:t>
      </w:r>
      <w:r w:rsidR="003F706E">
        <w:rPr>
          <w:rFonts w:ascii="Segoe UI" w:hAnsi="Segoe UI" w:cs="Segoe UI"/>
          <w:sz w:val="18"/>
          <w:szCs w:val="18"/>
        </w:rPr>
        <w:t>standard setters</w:t>
      </w:r>
      <w:r w:rsidR="00E04309" w:rsidRPr="007B291E">
        <w:rPr>
          <w:rFonts w:ascii="Segoe UI" w:hAnsi="Segoe UI" w:cs="Segoe UI"/>
          <w:sz w:val="18"/>
          <w:szCs w:val="18"/>
        </w:rPr>
        <w:t xml:space="preserve"> to allow each CCP to design a</w:t>
      </w:r>
      <w:r w:rsidR="00E04309">
        <w:rPr>
          <w:rFonts w:ascii="Segoe UI" w:hAnsi="Segoe UI" w:cs="Segoe UI"/>
          <w:sz w:val="18"/>
          <w:szCs w:val="18"/>
        </w:rPr>
        <w:t>n appropriate metric of</w:t>
      </w:r>
      <w:r w:rsidR="00E04309" w:rsidRPr="007B291E">
        <w:rPr>
          <w:rFonts w:ascii="Segoe UI" w:hAnsi="Segoe UI" w:cs="Segoe UI"/>
          <w:sz w:val="18"/>
          <w:szCs w:val="18"/>
        </w:rPr>
        <w:t xml:space="preserve"> margin responsiveness. While </w:t>
      </w:r>
      <w:r w:rsidR="00E04309">
        <w:rPr>
          <w:rFonts w:ascii="Segoe UI" w:hAnsi="Segoe UI" w:cs="Segoe UI"/>
          <w:sz w:val="18"/>
          <w:szCs w:val="18"/>
        </w:rPr>
        <w:t>this</w:t>
      </w:r>
      <w:r w:rsidR="00E04309" w:rsidRPr="007B291E">
        <w:rPr>
          <w:rFonts w:ascii="Segoe UI" w:hAnsi="Segoe UI" w:cs="Segoe UI"/>
          <w:sz w:val="18"/>
          <w:szCs w:val="18"/>
        </w:rPr>
        <w:t xml:space="preserve"> approach </w:t>
      </w:r>
      <w:r w:rsidR="00334072">
        <w:rPr>
          <w:rFonts w:ascii="Segoe UI" w:hAnsi="Segoe UI" w:cs="Segoe UI"/>
          <w:sz w:val="18"/>
          <w:szCs w:val="18"/>
        </w:rPr>
        <w:t xml:space="preserve">may </w:t>
      </w:r>
      <w:r w:rsidR="00E04309">
        <w:rPr>
          <w:rFonts w:ascii="Segoe UI" w:hAnsi="Segoe UI" w:cs="Segoe UI"/>
          <w:sz w:val="18"/>
          <w:szCs w:val="18"/>
        </w:rPr>
        <w:t>not allow for</w:t>
      </w:r>
      <w:r w:rsidR="00E04309" w:rsidRPr="007B291E">
        <w:rPr>
          <w:rFonts w:ascii="Segoe UI" w:hAnsi="Segoe UI" w:cs="Segoe UI"/>
          <w:sz w:val="18"/>
          <w:szCs w:val="18"/>
        </w:rPr>
        <w:t xml:space="preserve"> the same level of standardi</w:t>
      </w:r>
      <w:r w:rsidR="00E04309">
        <w:rPr>
          <w:rFonts w:ascii="Segoe UI" w:hAnsi="Segoe UI" w:cs="Segoe UI"/>
          <w:sz w:val="18"/>
          <w:szCs w:val="18"/>
        </w:rPr>
        <w:t>s</w:t>
      </w:r>
      <w:r w:rsidR="00E04309" w:rsidRPr="007B291E">
        <w:rPr>
          <w:rFonts w:ascii="Segoe UI" w:hAnsi="Segoe UI" w:cs="Segoe UI"/>
          <w:sz w:val="18"/>
          <w:szCs w:val="18"/>
        </w:rPr>
        <w:t>ation</w:t>
      </w:r>
      <w:r w:rsidR="00E04309">
        <w:rPr>
          <w:rFonts w:ascii="Segoe UI" w:hAnsi="Segoe UI" w:cs="Segoe UI"/>
          <w:sz w:val="18"/>
          <w:szCs w:val="18"/>
        </w:rPr>
        <w:t xml:space="preserve"> within the international clearing community</w:t>
      </w:r>
      <w:r w:rsidR="00E04309" w:rsidRPr="007B291E">
        <w:rPr>
          <w:rFonts w:ascii="Segoe UI" w:hAnsi="Segoe UI" w:cs="Segoe UI"/>
          <w:sz w:val="18"/>
          <w:szCs w:val="18"/>
        </w:rPr>
        <w:t>, it would however provide more value, as it would be tailored to the unique characteristics of each CCP's margin model.</w:t>
      </w:r>
      <w:r w:rsidR="008455BD">
        <w:rPr>
          <w:rFonts w:ascii="Segoe UI" w:hAnsi="Segoe UI" w:cs="Segoe UI"/>
          <w:sz w:val="18"/>
          <w:szCs w:val="18"/>
        </w:rPr>
        <w:br/>
      </w:r>
      <w:r w:rsidR="00834E1F" w:rsidRPr="008A2618">
        <w:rPr>
          <w:rFonts w:ascii="Segoe UI" w:hAnsi="Segoe UI" w:cs="Segoe UI"/>
          <w:strike/>
          <w:sz w:val="18"/>
          <w:szCs w:val="18"/>
        </w:rPr>
        <w:br/>
      </w:r>
      <w:r w:rsidR="003F706E" w:rsidRPr="008455BD">
        <w:rPr>
          <w:rFonts w:ascii="Segoe UI" w:hAnsi="Segoe UI" w:cs="Segoe UI"/>
          <w:sz w:val="18"/>
          <w:szCs w:val="18"/>
        </w:rPr>
        <w:t>The WFE appreciates that the JWGM’s intention is to provide a simple and high-level metric that gives some level of context to how a CCP</w:t>
      </w:r>
      <w:r w:rsidR="003F706E">
        <w:rPr>
          <w:rFonts w:ascii="Segoe UI" w:hAnsi="Segoe UI" w:cs="Segoe UI"/>
          <w:sz w:val="18"/>
          <w:szCs w:val="18"/>
        </w:rPr>
        <w:t>’s</w:t>
      </w:r>
      <w:r w:rsidR="003F706E" w:rsidRPr="008455BD">
        <w:rPr>
          <w:rFonts w:ascii="Segoe UI" w:hAnsi="Segoe UI" w:cs="Segoe UI"/>
          <w:sz w:val="18"/>
          <w:szCs w:val="18"/>
        </w:rPr>
        <w:t xml:space="preserve"> model reacted to recent market event</w:t>
      </w:r>
      <w:r w:rsidR="003F706E">
        <w:rPr>
          <w:rFonts w:ascii="Segoe UI" w:hAnsi="Segoe UI" w:cs="Segoe UI"/>
          <w:sz w:val="18"/>
          <w:szCs w:val="18"/>
        </w:rPr>
        <w:t>s</w:t>
      </w:r>
      <w:r w:rsidR="00B86D57">
        <w:rPr>
          <w:rStyle w:val="cf01"/>
        </w:rPr>
        <w:t xml:space="preserve">. However, it is our view that if such a metric were to be mandated, </w:t>
      </w:r>
      <w:r w:rsidR="00B86D57">
        <w:rPr>
          <w:rFonts w:ascii="Segoe UI" w:hAnsi="Segoe UI" w:cs="Segoe UI"/>
          <w:sz w:val="18"/>
          <w:szCs w:val="18"/>
        </w:rPr>
        <w:t>then significant caveats should accompany any reporting to ensure that it is not misinterpreted</w:t>
      </w:r>
      <w:r w:rsidR="000D3CC2">
        <w:rPr>
          <w:rFonts w:ascii="Segoe UI" w:hAnsi="Segoe UI" w:cs="Segoe UI"/>
          <w:sz w:val="18"/>
          <w:szCs w:val="18"/>
        </w:rPr>
        <w:t xml:space="preserve"> and does not contribute to </w:t>
      </w:r>
      <w:r w:rsidR="0052365D">
        <w:rPr>
          <w:rFonts w:ascii="Segoe UI" w:hAnsi="Segoe UI" w:cs="Segoe UI"/>
          <w:sz w:val="18"/>
          <w:szCs w:val="18"/>
        </w:rPr>
        <w:t>any</w:t>
      </w:r>
      <w:r w:rsidR="00046BEA" w:rsidRPr="00046BEA">
        <w:rPr>
          <w:rFonts w:ascii="Segoe UI" w:hAnsi="Segoe UI" w:cs="Segoe UI"/>
          <w:sz w:val="18"/>
          <w:szCs w:val="18"/>
        </w:rPr>
        <w:t xml:space="preserve"> </w:t>
      </w:r>
      <w:r w:rsidR="00A70C36">
        <w:rPr>
          <w:rFonts w:ascii="Segoe UI" w:hAnsi="Segoe UI" w:cs="Segoe UI"/>
          <w:sz w:val="18"/>
          <w:szCs w:val="18"/>
        </w:rPr>
        <w:t>market participants</w:t>
      </w:r>
      <w:r w:rsidR="00046BEA" w:rsidRPr="00046BEA">
        <w:rPr>
          <w:rFonts w:ascii="Segoe UI" w:hAnsi="Segoe UI" w:cs="Segoe UI"/>
          <w:sz w:val="18"/>
          <w:szCs w:val="18"/>
        </w:rPr>
        <w:t xml:space="preserve"> being </w:t>
      </w:r>
      <w:r w:rsidR="000701B8">
        <w:rPr>
          <w:rFonts w:ascii="Segoe UI" w:hAnsi="Segoe UI" w:cs="Segoe UI"/>
          <w:sz w:val="18"/>
          <w:szCs w:val="18"/>
        </w:rPr>
        <w:t>less</w:t>
      </w:r>
      <w:r w:rsidR="000D3CC2" w:rsidRPr="00046BEA">
        <w:rPr>
          <w:rFonts w:ascii="Segoe UI" w:hAnsi="Segoe UI" w:cs="Segoe UI"/>
          <w:sz w:val="18"/>
          <w:szCs w:val="18"/>
        </w:rPr>
        <w:t xml:space="preserve"> </w:t>
      </w:r>
      <w:r w:rsidR="00046BEA" w:rsidRPr="00046BEA">
        <w:rPr>
          <w:rFonts w:ascii="Segoe UI" w:hAnsi="Segoe UI" w:cs="Segoe UI"/>
          <w:sz w:val="18"/>
          <w:szCs w:val="18"/>
        </w:rPr>
        <w:t>prepared</w:t>
      </w:r>
      <w:r w:rsidR="00201C7A">
        <w:rPr>
          <w:rFonts w:ascii="Segoe UI" w:hAnsi="Segoe UI" w:cs="Segoe UI"/>
          <w:sz w:val="18"/>
          <w:szCs w:val="18"/>
        </w:rPr>
        <w:t xml:space="preserve"> for margin </w:t>
      </w:r>
      <w:r w:rsidR="005736A9">
        <w:rPr>
          <w:rFonts w:ascii="Segoe UI" w:hAnsi="Segoe UI" w:cs="Segoe UI"/>
          <w:sz w:val="18"/>
          <w:szCs w:val="18"/>
        </w:rPr>
        <w:t>calls</w:t>
      </w:r>
      <w:r w:rsidR="000A1057">
        <w:rPr>
          <w:rFonts w:ascii="Segoe UI" w:hAnsi="Segoe UI" w:cs="Segoe UI"/>
          <w:sz w:val="18"/>
          <w:szCs w:val="18"/>
        </w:rPr>
        <w:t xml:space="preserve"> than otherwise</w:t>
      </w:r>
      <w:r w:rsidR="00046BEA">
        <w:rPr>
          <w:rFonts w:ascii="Segoe UI" w:hAnsi="Segoe UI" w:cs="Segoe UI"/>
          <w:sz w:val="18"/>
          <w:szCs w:val="18"/>
        </w:rPr>
        <w:t>.</w:t>
      </w:r>
      <w:r w:rsidR="00007CA3">
        <w:rPr>
          <w:rFonts w:ascii="Segoe UI" w:hAnsi="Segoe UI" w:cs="Segoe UI"/>
          <w:sz w:val="18"/>
          <w:szCs w:val="18"/>
        </w:rPr>
        <w:t xml:space="preserve"> </w:t>
      </w:r>
    </w:p>
    <w:p w14:paraId="7252719B" w14:textId="77AA7F4F" w:rsidR="00E4605A" w:rsidRPr="00880D3F" w:rsidRDefault="00CD46A8" w:rsidP="00F978B1">
      <w:pPr>
        <w:pStyle w:val="paragraph"/>
        <w:ind w:left="1440"/>
        <w:textAlignment w:val="baseline"/>
        <w:rPr>
          <w:rFonts w:ascii="Segoe UI" w:hAnsi="Segoe UI" w:cs="Segoe UI"/>
          <w:sz w:val="18"/>
          <w:szCs w:val="18"/>
        </w:rPr>
      </w:pPr>
      <w:r>
        <w:rPr>
          <w:rFonts w:ascii="Segoe UI" w:hAnsi="Segoe UI" w:cs="Segoe UI"/>
          <w:sz w:val="18"/>
          <w:szCs w:val="18"/>
        </w:rPr>
        <w:t xml:space="preserve">The consultation </w:t>
      </w:r>
      <w:r w:rsidRPr="00BF1F08">
        <w:rPr>
          <w:rFonts w:ascii="Segoe UI" w:hAnsi="Segoe UI" w:cs="Segoe UI"/>
          <w:sz w:val="18"/>
          <w:szCs w:val="18"/>
        </w:rPr>
        <w:t>offers two options to estimate the volatility component</w:t>
      </w:r>
      <w:r>
        <w:rPr>
          <w:rFonts w:ascii="Segoe UI" w:hAnsi="Segoe UI" w:cs="Segoe UI"/>
          <w:sz w:val="18"/>
          <w:szCs w:val="18"/>
        </w:rPr>
        <w:t>,</w:t>
      </w:r>
      <w:r w:rsidRPr="00BF1F08">
        <w:rPr>
          <w:rFonts w:ascii="Segoe UI" w:hAnsi="Segoe UI" w:cs="Segoe UI"/>
          <w:sz w:val="18"/>
          <w:szCs w:val="18"/>
        </w:rPr>
        <w:t xml:space="preserve"> </w:t>
      </w:r>
      <w:r>
        <w:rPr>
          <w:rFonts w:ascii="Segoe UI" w:hAnsi="Segoe UI" w:cs="Segoe UI"/>
          <w:sz w:val="18"/>
          <w:szCs w:val="18"/>
        </w:rPr>
        <w:t>either a</w:t>
      </w:r>
      <w:r w:rsidRPr="00BF1F08">
        <w:rPr>
          <w:rFonts w:ascii="Segoe UI" w:hAnsi="Segoe UI" w:cs="Segoe UI"/>
          <w:sz w:val="18"/>
          <w:szCs w:val="18"/>
        </w:rPr>
        <w:t xml:space="preserve"> (rolling) standard deviation</w:t>
      </w:r>
      <w:r>
        <w:rPr>
          <w:rFonts w:ascii="Segoe UI" w:hAnsi="Segoe UI" w:cs="Segoe UI"/>
          <w:sz w:val="18"/>
          <w:szCs w:val="18"/>
        </w:rPr>
        <w:t>,</w:t>
      </w:r>
      <w:r w:rsidRPr="00BF1F08">
        <w:rPr>
          <w:rFonts w:ascii="Segoe UI" w:hAnsi="Segoe UI" w:cs="Segoe UI"/>
          <w:sz w:val="18"/>
          <w:szCs w:val="18"/>
        </w:rPr>
        <w:t xml:space="preserve"> or a 99% percentile </w:t>
      </w:r>
      <w:r>
        <w:rPr>
          <w:rFonts w:ascii="Segoe UI" w:hAnsi="Segoe UI" w:cs="Segoe UI"/>
          <w:sz w:val="18"/>
          <w:szCs w:val="18"/>
        </w:rPr>
        <w:t xml:space="preserve">calculation </w:t>
      </w:r>
      <w:r w:rsidRPr="00BF1F08">
        <w:rPr>
          <w:rFonts w:ascii="Segoe UI" w:hAnsi="Segoe UI" w:cs="Segoe UI"/>
          <w:sz w:val="18"/>
          <w:szCs w:val="18"/>
        </w:rPr>
        <w:t>(</w:t>
      </w:r>
      <w:r>
        <w:rPr>
          <w:rFonts w:ascii="Segoe UI" w:hAnsi="Segoe UI" w:cs="Segoe UI"/>
          <w:sz w:val="18"/>
          <w:szCs w:val="18"/>
        </w:rPr>
        <w:t>such as Value at Risk</w:t>
      </w:r>
      <w:r w:rsidRPr="00BF1F08">
        <w:rPr>
          <w:rFonts w:ascii="Segoe UI" w:hAnsi="Segoe UI" w:cs="Segoe UI"/>
          <w:sz w:val="18"/>
          <w:szCs w:val="18"/>
        </w:rPr>
        <w:t>).</w:t>
      </w:r>
      <w:r>
        <w:rPr>
          <w:rFonts w:ascii="Segoe UI" w:hAnsi="Segoe UI" w:cs="Segoe UI"/>
          <w:sz w:val="18"/>
          <w:szCs w:val="18"/>
        </w:rPr>
        <w:t xml:space="preserve"> </w:t>
      </w:r>
      <w:proofErr w:type="gramStart"/>
      <w:r>
        <w:rPr>
          <w:rFonts w:ascii="Segoe UI" w:hAnsi="Segoe UI" w:cs="Segoe UI"/>
          <w:sz w:val="18"/>
          <w:szCs w:val="18"/>
        </w:rPr>
        <w:t>B</w:t>
      </w:r>
      <w:r w:rsidRPr="00BF1F08">
        <w:rPr>
          <w:rFonts w:ascii="Segoe UI" w:hAnsi="Segoe UI" w:cs="Segoe UI"/>
          <w:sz w:val="18"/>
          <w:szCs w:val="18"/>
        </w:rPr>
        <w:t xml:space="preserve">oth </w:t>
      </w:r>
      <w:r>
        <w:rPr>
          <w:rFonts w:ascii="Segoe UI" w:hAnsi="Segoe UI" w:cs="Segoe UI"/>
          <w:sz w:val="18"/>
          <w:szCs w:val="18"/>
        </w:rPr>
        <w:t>of these</w:t>
      </w:r>
      <w:proofErr w:type="gramEnd"/>
      <w:r>
        <w:rPr>
          <w:rFonts w:ascii="Segoe UI" w:hAnsi="Segoe UI" w:cs="Segoe UI"/>
          <w:sz w:val="18"/>
          <w:szCs w:val="18"/>
        </w:rPr>
        <w:t xml:space="preserve"> methods</w:t>
      </w:r>
      <w:r w:rsidRPr="00BF1F08">
        <w:rPr>
          <w:rFonts w:ascii="Segoe UI" w:hAnsi="Segoe UI" w:cs="Segoe UI"/>
          <w:sz w:val="18"/>
          <w:szCs w:val="18"/>
        </w:rPr>
        <w:t xml:space="preserve"> </w:t>
      </w:r>
      <w:r>
        <w:rPr>
          <w:rFonts w:ascii="Segoe UI" w:hAnsi="Segoe UI" w:cs="Segoe UI"/>
          <w:sz w:val="18"/>
          <w:szCs w:val="18"/>
        </w:rPr>
        <w:t>represent</w:t>
      </w:r>
      <w:r w:rsidRPr="00BF1F08">
        <w:rPr>
          <w:rFonts w:ascii="Segoe UI" w:hAnsi="Segoe UI" w:cs="Segoe UI"/>
          <w:sz w:val="18"/>
          <w:szCs w:val="18"/>
        </w:rPr>
        <w:t xml:space="preserve"> a choice on how to model risk (i.e., a</w:t>
      </w:r>
      <w:r>
        <w:rPr>
          <w:rFonts w:ascii="Segoe UI" w:hAnsi="Segoe UI" w:cs="Segoe UI"/>
          <w:sz w:val="18"/>
          <w:szCs w:val="18"/>
        </w:rPr>
        <w:t xml:space="preserve"> </w:t>
      </w:r>
      <w:r w:rsidRPr="00BF1F08">
        <w:rPr>
          <w:rFonts w:ascii="Segoe UI" w:hAnsi="Segoe UI" w:cs="Segoe UI"/>
          <w:sz w:val="18"/>
          <w:szCs w:val="18"/>
        </w:rPr>
        <w:t>risk model)</w:t>
      </w:r>
      <w:r w:rsidR="00110701">
        <w:rPr>
          <w:rFonts w:ascii="Segoe UI" w:hAnsi="Segoe UI" w:cs="Segoe UI"/>
          <w:sz w:val="18"/>
          <w:szCs w:val="18"/>
        </w:rPr>
        <w:t>. Therefore</w:t>
      </w:r>
      <w:r w:rsidR="002B3525">
        <w:rPr>
          <w:rFonts w:ascii="Segoe UI" w:hAnsi="Segoe UI" w:cs="Segoe UI"/>
          <w:sz w:val="18"/>
          <w:szCs w:val="18"/>
        </w:rPr>
        <w:t>, t</w:t>
      </w:r>
      <w:r w:rsidR="00292221" w:rsidRPr="00880D3F">
        <w:rPr>
          <w:rFonts w:ascii="Segoe UI" w:hAnsi="Segoe UI" w:cs="Segoe UI"/>
          <w:sz w:val="18"/>
          <w:szCs w:val="18"/>
        </w:rPr>
        <w:t xml:space="preserve">he </w:t>
      </w:r>
      <w:r w:rsidR="00AA4773">
        <w:rPr>
          <w:rFonts w:ascii="Segoe UI" w:hAnsi="Segoe UI" w:cs="Segoe UI"/>
          <w:sz w:val="18"/>
          <w:szCs w:val="18"/>
        </w:rPr>
        <w:t>method</w:t>
      </w:r>
      <w:r w:rsidR="00AA4773" w:rsidRPr="00880D3F">
        <w:rPr>
          <w:rFonts w:ascii="Segoe UI" w:hAnsi="Segoe UI" w:cs="Segoe UI"/>
          <w:sz w:val="18"/>
          <w:szCs w:val="18"/>
        </w:rPr>
        <w:t xml:space="preserve"> </w:t>
      </w:r>
      <w:r w:rsidR="000701B8">
        <w:rPr>
          <w:rFonts w:ascii="Segoe UI" w:hAnsi="Segoe UI" w:cs="Segoe UI"/>
          <w:sz w:val="18"/>
          <w:szCs w:val="18"/>
        </w:rPr>
        <w:t xml:space="preserve">should clearly state that it </w:t>
      </w:r>
      <w:r w:rsidR="00292221" w:rsidRPr="00880D3F">
        <w:rPr>
          <w:rFonts w:ascii="Segoe UI" w:hAnsi="Segoe UI" w:cs="Segoe UI"/>
          <w:sz w:val="18"/>
          <w:szCs w:val="18"/>
        </w:rPr>
        <w:t>does not measure the responsiveness of a CCP margin model to its inputs</w:t>
      </w:r>
      <w:r w:rsidR="00F978B1">
        <w:rPr>
          <w:rFonts w:ascii="Segoe UI" w:hAnsi="Segoe UI" w:cs="Segoe UI"/>
          <w:sz w:val="18"/>
          <w:szCs w:val="18"/>
        </w:rPr>
        <w:t>,</w:t>
      </w:r>
      <w:r w:rsidR="000D74D9">
        <w:rPr>
          <w:rFonts w:ascii="Segoe UI" w:hAnsi="Segoe UI" w:cs="Segoe UI"/>
          <w:sz w:val="18"/>
          <w:szCs w:val="18"/>
        </w:rPr>
        <w:t xml:space="preserve"> as</w:t>
      </w:r>
      <w:r w:rsidR="00B536A4">
        <w:rPr>
          <w:rFonts w:ascii="Segoe UI" w:hAnsi="Segoe UI" w:cs="Segoe UI"/>
          <w:sz w:val="18"/>
          <w:szCs w:val="18"/>
        </w:rPr>
        <w:t xml:space="preserve"> a “responsiveness measure” would be expected to do. I</w:t>
      </w:r>
      <w:r w:rsidR="00F978B1" w:rsidRPr="00F978B1">
        <w:rPr>
          <w:rFonts w:ascii="Segoe UI" w:hAnsi="Segoe UI" w:cs="Segoe UI"/>
          <w:sz w:val="18"/>
          <w:szCs w:val="18"/>
        </w:rPr>
        <w:t xml:space="preserve">nstead, </w:t>
      </w:r>
      <w:r w:rsidR="00B536A4">
        <w:rPr>
          <w:rFonts w:ascii="Segoe UI" w:hAnsi="Segoe UI" w:cs="Segoe UI"/>
          <w:sz w:val="18"/>
          <w:szCs w:val="18"/>
        </w:rPr>
        <w:t xml:space="preserve">the proposed method </w:t>
      </w:r>
      <w:r w:rsidR="00C207AB" w:rsidRPr="00C207AB">
        <w:rPr>
          <w:rFonts w:ascii="Segoe UI" w:hAnsi="Segoe UI" w:cs="Segoe UI"/>
          <w:sz w:val="18"/>
          <w:szCs w:val="18"/>
        </w:rPr>
        <w:t>compares the responsiveness of the CCP’s margin model with that of the risk model selected</w:t>
      </w:r>
      <w:r w:rsidR="00C207AB">
        <w:rPr>
          <w:rFonts w:ascii="Segoe UI" w:hAnsi="Segoe UI" w:cs="Segoe UI"/>
          <w:sz w:val="18"/>
          <w:szCs w:val="18"/>
        </w:rPr>
        <w:t xml:space="preserve"> by the JWGM, which should not be assumed to be a benchmark risk model for the industry</w:t>
      </w:r>
      <w:r w:rsidR="00F978B1" w:rsidRPr="00F978B1">
        <w:rPr>
          <w:rFonts w:ascii="Segoe UI" w:hAnsi="Segoe UI" w:cs="Segoe UI"/>
          <w:sz w:val="18"/>
          <w:szCs w:val="18"/>
        </w:rPr>
        <w:t>.</w:t>
      </w:r>
    </w:p>
    <w:p w14:paraId="7DAFA8CC" w14:textId="1333E158" w:rsidR="0093617D" w:rsidRDefault="00292221" w:rsidP="000D447A">
      <w:pPr>
        <w:pStyle w:val="paragraph"/>
        <w:ind w:left="1440"/>
        <w:textAlignment w:val="baseline"/>
        <w:rPr>
          <w:rFonts w:ascii="Segoe UI" w:hAnsi="Segoe UI" w:cs="Segoe UI"/>
          <w:sz w:val="18"/>
          <w:szCs w:val="18"/>
        </w:rPr>
      </w:pPr>
      <w:r w:rsidRPr="00880D3F">
        <w:rPr>
          <w:rFonts w:ascii="Segoe UI" w:hAnsi="Segoe UI" w:cs="Segoe UI"/>
          <w:sz w:val="18"/>
          <w:szCs w:val="18"/>
        </w:rPr>
        <w:t>Furthermore,</w:t>
      </w:r>
      <w:r w:rsidR="00945E8C">
        <w:rPr>
          <w:rFonts w:ascii="Segoe UI" w:hAnsi="Segoe UI" w:cs="Segoe UI"/>
          <w:sz w:val="18"/>
          <w:szCs w:val="18"/>
        </w:rPr>
        <w:t xml:space="preserve"> i</w:t>
      </w:r>
      <w:r w:rsidR="003C739D">
        <w:rPr>
          <w:rFonts w:ascii="Segoe UI" w:hAnsi="Segoe UI" w:cs="Segoe UI"/>
          <w:sz w:val="18"/>
          <w:szCs w:val="18"/>
        </w:rPr>
        <w:t xml:space="preserve">f </w:t>
      </w:r>
      <w:r w:rsidR="006D71CE">
        <w:rPr>
          <w:rFonts w:ascii="Segoe UI" w:hAnsi="Segoe UI" w:cs="Segoe UI"/>
          <w:sz w:val="18"/>
          <w:szCs w:val="18"/>
        </w:rPr>
        <w:t>implemented</w:t>
      </w:r>
      <w:r w:rsidR="003C739D">
        <w:rPr>
          <w:rFonts w:ascii="Segoe UI" w:hAnsi="Segoe UI" w:cs="Segoe UI"/>
          <w:sz w:val="18"/>
          <w:szCs w:val="18"/>
        </w:rPr>
        <w:t>, the</w:t>
      </w:r>
      <w:r w:rsidRPr="00880D3F">
        <w:rPr>
          <w:rFonts w:ascii="Segoe UI" w:hAnsi="Segoe UI" w:cs="Segoe UI"/>
          <w:sz w:val="18"/>
          <w:szCs w:val="18"/>
        </w:rPr>
        <w:t xml:space="preserve"> </w:t>
      </w:r>
      <w:r w:rsidR="006D71CE">
        <w:rPr>
          <w:rFonts w:ascii="Segoe UI" w:hAnsi="Segoe UI" w:cs="Segoe UI"/>
          <w:sz w:val="18"/>
          <w:szCs w:val="18"/>
        </w:rPr>
        <w:t>proposed</w:t>
      </w:r>
      <w:r w:rsidR="006D71CE" w:rsidRPr="00880D3F">
        <w:rPr>
          <w:rFonts w:ascii="Segoe UI" w:hAnsi="Segoe UI" w:cs="Segoe UI"/>
          <w:sz w:val="18"/>
          <w:szCs w:val="18"/>
        </w:rPr>
        <w:t xml:space="preserve"> </w:t>
      </w:r>
      <w:r w:rsidRPr="00880D3F">
        <w:rPr>
          <w:rFonts w:ascii="Segoe UI" w:hAnsi="Segoe UI" w:cs="Segoe UI"/>
          <w:sz w:val="18"/>
          <w:szCs w:val="18"/>
        </w:rPr>
        <w:t xml:space="preserve">measure </w:t>
      </w:r>
      <w:r w:rsidR="003C739D">
        <w:rPr>
          <w:rFonts w:ascii="Segoe UI" w:hAnsi="Segoe UI" w:cs="Segoe UI"/>
          <w:sz w:val="18"/>
          <w:szCs w:val="18"/>
        </w:rPr>
        <w:t>should come with caveats</w:t>
      </w:r>
      <w:r w:rsidR="006D71CE">
        <w:rPr>
          <w:rFonts w:ascii="Segoe UI" w:hAnsi="Segoe UI" w:cs="Segoe UI"/>
          <w:sz w:val="18"/>
          <w:szCs w:val="18"/>
        </w:rPr>
        <w:t xml:space="preserve"> </w:t>
      </w:r>
      <w:r w:rsidR="003C739D">
        <w:rPr>
          <w:rFonts w:ascii="Segoe UI" w:hAnsi="Segoe UI" w:cs="Segoe UI"/>
          <w:sz w:val="18"/>
          <w:szCs w:val="18"/>
        </w:rPr>
        <w:t xml:space="preserve">outlining that the measure </w:t>
      </w:r>
      <w:r w:rsidRPr="00880D3F">
        <w:rPr>
          <w:rFonts w:ascii="Segoe UI" w:hAnsi="Segoe UI" w:cs="Segoe UI"/>
          <w:sz w:val="18"/>
          <w:szCs w:val="18"/>
        </w:rPr>
        <w:t>is dependent on prior inputs (not volatility)</w:t>
      </w:r>
      <w:r w:rsidR="006549A1" w:rsidRPr="00880D3F">
        <w:rPr>
          <w:rFonts w:ascii="Segoe UI" w:hAnsi="Segoe UI" w:cs="Segoe UI"/>
          <w:sz w:val="18"/>
          <w:szCs w:val="18"/>
        </w:rPr>
        <w:t xml:space="preserve">, </w:t>
      </w:r>
      <w:r w:rsidRPr="00880D3F">
        <w:rPr>
          <w:rFonts w:ascii="Segoe UI" w:hAnsi="Segoe UI" w:cs="Segoe UI"/>
          <w:sz w:val="18"/>
          <w:szCs w:val="18"/>
        </w:rPr>
        <w:t>and thus, cannot be used to compare models</w:t>
      </w:r>
      <w:r w:rsidR="006549A1" w:rsidRPr="00880D3F">
        <w:rPr>
          <w:rFonts w:ascii="Segoe UI" w:hAnsi="Segoe UI" w:cs="Segoe UI"/>
          <w:sz w:val="18"/>
          <w:szCs w:val="18"/>
        </w:rPr>
        <w:t>.</w:t>
      </w:r>
      <w:r w:rsidRPr="00880D3F">
        <w:rPr>
          <w:rFonts w:ascii="Segoe UI" w:hAnsi="Segoe UI" w:cs="Segoe UI"/>
          <w:sz w:val="18"/>
          <w:szCs w:val="18"/>
        </w:rPr>
        <w:t xml:space="preserve"> </w:t>
      </w:r>
      <w:r w:rsidR="006549A1" w:rsidRPr="00880D3F">
        <w:rPr>
          <w:rFonts w:ascii="Segoe UI" w:hAnsi="Segoe UI" w:cs="Segoe UI"/>
          <w:sz w:val="18"/>
          <w:szCs w:val="18"/>
        </w:rPr>
        <w:t xml:space="preserve">Two different </w:t>
      </w:r>
      <w:r w:rsidR="00E054C3" w:rsidRPr="00880D3F">
        <w:rPr>
          <w:rFonts w:ascii="Segoe UI" w:hAnsi="Segoe UI" w:cs="Segoe UI"/>
          <w:sz w:val="18"/>
          <w:szCs w:val="18"/>
        </w:rPr>
        <w:t xml:space="preserve">sets of inputs </w:t>
      </w:r>
      <w:r w:rsidR="006549A1" w:rsidRPr="00880D3F">
        <w:rPr>
          <w:rFonts w:ascii="Segoe UI" w:hAnsi="Segoe UI" w:cs="Segoe UI"/>
          <w:sz w:val="18"/>
          <w:szCs w:val="18"/>
        </w:rPr>
        <w:t xml:space="preserve">may result in two </w:t>
      </w:r>
      <w:r w:rsidR="00F67421" w:rsidRPr="00880D3F">
        <w:rPr>
          <w:rFonts w:ascii="Segoe UI" w:hAnsi="Segoe UI" w:cs="Segoe UI"/>
          <w:sz w:val="18"/>
          <w:szCs w:val="18"/>
        </w:rPr>
        <w:t xml:space="preserve">very </w:t>
      </w:r>
      <w:r w:rsidR="006549A1" w:rsidRPr="00880D3F">
        <w:rPr>
          <w:rFonts w:ascii="Segoe UI" w:hAnsi="Segoe UI" w:cs="Segoe UI"/>
          <w:sz w:val="18"/>
          <w:szCs w:val="18"/>
        </w:rPr>
        <w:t xml:space="preserve">different </w:t>
      </w:r>
      <w:r w:rsidR="00757A2A" w:rsidRPr="00880D3F">
        <w:rPr>
          <w:rFonts w:ascii="Segoe UI" w:hAnsi="Segoe UI" w:cs="Segoe UI"/>
          <w:sz w:val="18"/>
          <w:szCs w:val="18"/>
        </w:rPr>
        <w:t>responsiveness measurements</w:t>
      </w:r>
      <w:r w:rsidR="002A7635" w:rsidRPr="00880D3F">
        <w:rPr>
          <w:rFonts w:ascii="Segoe UI" w:hAnsi="Segoe UI" w:cs="Segoe UI"/>
          <w:sz w:val="18"/>
          <w:szCs w:val="18"/>
        </w:rPr>
        <w:t>, and a model that appears less responsive in one scenario may be the most responsive in a different scenario.</w:t>
      </w:r>
      <w:r w:rsidR="00AD4EBE" w:rsidRPr="00880D3F">
        <w:rPr>
          <w:rFonts w:ascii="Segoe UI" w:hAnsi="Segoe UI" w:cs="Segoe UI"/>
          <w:sz w:val="18"/>
          <w:szCs w:val="18"/>
        </w:rPr>
        <w:t xml:space="preserve"> </w:t>
      </w:r>
      <w:r w:rsidR="000A7173">
        <w:rPr>
          <w:rFonts w:ascii="Segoe UI" w:hAnsi="Segoe UI" w:cs="Segoe UI"/>
          <w:sz w:val="18"/>
          <w:szCs w:val="18"/>
        </w:rPr>
        <w:t>In addition,</w:t>
      </w:r>
      <w:r w:rsidR="003C739D">
        <w:rPr>
          <w:rFonts w:ascii="Segoe UI" w:hAnsi="Segoe UI" w:cs="Segoe UI"/>
          <w:sz w:val="18"/>
          <w:szCs w:val="18"/>
        </w:rPr>
        <w:t xml:space="preserve"> it should be </w:t>
      </w:r>
      <w:r w:rsidR="00D1317B">
        <w:rPr>
          <w:rFonts w:ascii="Segoe UI" w:hAnsi="Segoe UI" w:cs="Segoe UI"/>
          <w:sz w:val="18"/>
          <w:szCs w:val="18"/>
        </w:rPr>
        <w:t>clearly</w:t>
      </w:r>
      <w:r w:rsidR="003C739D">
        <w:rPr>
          <w:rFonts w:ascii="Segoe UI" w:hAnsi="Segoe UI" w:cs="Segoe UI"/>
          <w:sz w:val="18"/>
          <w:szCs w:val="18"/>
        </w:rPr>
        <w:t xml:space="preserve"> noted that</w:t>
      </w:r>
      <w:r w:rsidR="000A7173">
        <w:rPr>
          <w:rFonts w:ascii="Segoe UI" w:hAnsi="Segoe UI" w:cs="Segoe UI"/>
          <w:sz w:val="18"/>
          <w:szCs w:val="18"/>
        </w:rPr>
        <w:t xml:space="preserve"> </w:t>
      </w:r>
      <w:r w:rsidR="000E5D8C">
        <w:rPr>
          <w:rFonts w:ascii="Segoe UI" w:hAnsi="Segoe UI" w:cs="Segoe UI"/>
          <w:sz w:val="18"/>
          <w:szCs w:val="18"/>
        </w:rPr>
        <w:t>the measure’s path dependency</w:t>
      </w:r>
      <w:r w:rsidR="00066549">
        <w:rPr>
          <w:rFonts w:ascii="Segoe UI" w:hAnsi="Segoe UI" w:cs="Segoe UI"/>
          <w:sz w:val="18"/>
          <w:szCs w:val="18"/>
        </w:rPr>
        <w:t xml:space="preserve"> renders t</w:t>
      </w:r>
      <w:r w:rsidRPr="00880D3F">
        <w:rPr>
          <w:rFonts w:ascii="Segoe UI" w:hAnsi="Segoe UI" w:cs="Segoe UI"/>
          <w:sz w:val="18"/>
          <w:szCs w:val="18"/>
        </w:rPr>
        <w:t xml:space="preserve">he proposed measure </w:t>
      </w:r>
      <w:r w:rsidR="00066549">
        <w:rPr>
          <w:rFonts w:ascii="Segoe UI" w:hAnsi="Segoe UI" w:cs="Segoe UI"/>
          <w:sz w:val="18"/>
          <w:szCs w:val="18"/>
        </w:rPr>
        <w:t>as</w:t>
      </w:r>
      <w:r w:rsidR="00066549" w:rsidRPr="00880D3F">
        <w:rPr>
          <w:rFonts w:ascii="Segoe UI" w:hAnsi="Segoe UI" w:cs="Segoe UI"/>
          <w:sz w:val="18"/>
          <w:szCs w:val="18"/>
        </w:rPr>
        <w:t xml:space="preserve"> </w:t>
      </w:r>
      <w:r w:rsidR="00C372E9">
        <w:rPr>
          <w:rFonts w:ascii="Segoe UI" w:hAnsi="Segoe UI" w:cs="Segoe UI"/>
          <w:sz w:val="18"/>
          <w:szCs w:val="18"/>
        </w:rPr>
        <w:t>prone to producing diverging measurements</w:t>
      </w:r>
      <w:r w:rsidR="004D3BC1">
        <w:rPr>
          <w:rFonts w:ascii="Segoe UI" w:hAnsi="Segoe UI" w:cs="Segoe UI"/>
          <w:sz w:val="18"/>
          <w:szCs w:val="18"/>
        </w:rPr>
        <w:t xml:space="preserve"> under future scenarios, even if the</w:t>
      </w:r>
      <w:r w:rsidR="00C372E9">
        <w:rPr>
          <w:rFonts w:ascii="Segoe UI" w:hAnsi="Segoe UI" w:cs="Segoe UI"/>
          <w:sz w:val="18"/>
          <w:szCs w:val="18"/>
        </w:rPr>
        <w:t xml:space="preserve"> level of volatility</w:t>
      </w:r>
      <w:r w:rsidR="004D3BC1">
        <w:rPr>
          <w:rFonts w:ascii="Segoe UI" w:hAnsi="Segoe UI" w:cs="Segoe UI"/>
          <w:sz w:val="18"/>
          <w:szCs w:val="18"/>
        </w:rPr>
        <w:t xml:space="preserve"> is the same</w:t>
      </w:r>
      <w:r w:rsidR="00F319B1">
        <w:rPr>
          <w:rFonts w:ascii="Segoe UI" w:hAnsi="Segoe UI" w:cs="Segoe UI"/>
          <w:sz w:val="18"/>
          <w:szCs w:val="18"/>
        </w:rPr>
        <w:t xml:space="preserve">. </w:t>
      </w:r>
      <w:r w:rsidR="00990AC3">
        <w:rPr>
          <w:rFonts w:ascii="Segoe UI" w:hAnsi="Segoe UI" w:cs="Segoe UI"/>
          <w:sz w:val="18"/>
          <w:szCs w:val="18"/>
        </w:rPr>
        <w:t>While we do</w:t>
      </w:r>
      <w:r w:rsidR="00540123">
        <w:rPr>
          <w:rFonts w:ascii="Segoe UI" w:hAnsi="Segoe UI" w:cs="Segoe UI"/>
          <w:sz w:val="18"/>
          <w:szCs w:val="18"/>
        </w:rPr>
        <w:t xml:space="preserve"> not </w:t>
      </w:r>
      <w:r w:rsidR="00990AC3">
        <w:rPr>
          <w:rFonts w:ascii="Segoe UI" w:hAnsi="Segoe UI" w:cs="Segoe UI"/>
          <w:sz w:val="18"/>
          <w:szCs w:val="18"/>
        </w:rPr>
        <w:t>believe it is the intention of the</w:t>
      </w:r>
      <w:r w:rsidR="00540123">
        <w:rPr>
          <w:rFonts w:ascii="Segoe UI" w:hAnsi="Segoe UI" w:cs="Segoe UI"/>
          <w:sz w:val="18"/>
          <w:szCs w:val="18"/>
        </w:rPr>
        <w:t xml:space="preserve"> standard setters to implement</w:t>
      </w:r>
      <w:r w:rsidR="00BF776D">
        <w:rPr>
          <w:rFonts w:ascii="Segoe UI" w:hAnsi="Segoe UI" w:cs="Segoe UI"/>
          <w:sz w:val="18"/>
          <w:szCs w:val="18"/>
        </w:rPr>
        <w:t xml:space="preserve"> </w:t>
      </w:r>
      <w:r w:rsidR="009D3896">
        <w:rPr>
          <w:rFonts w:ascii="Segoe UI" w:hAnsi="Segoe UI" w:cs="Segoe UI"/>
          <w:sz w:val="18"/>
          <w:szCs w:val="18"/>
        </w:rPr>
        <w:t>a</w:t>
      </w:r>
      <w:r w:rsidR="007C7358">
        <w:rPr>
          <w:rFonts w:ascii="Segoe UI" w:hAnsi="Segoe UI" w:cs="Segoe UI"/>
          <w:sz w:val="18"/>
          <w:szCs w:val="18"/>
        </w:rPr>
        <w:t xml:space="preserve"> </w:t>
      </w:r>
      <w:r w:rsidR="008543F6">
        <w:rPr>
          <w:rFonts w:ascii="Segoe UI" w:hAnsi="Segoe UI" w:cs="Segoe UI"/>
          <w:sz w:val="18"/>
          <w:szCs w:val="18"/>
        </w:rPr>
        <w:t>standardised measurement of margin responsiveness</w:t>
      </w:r>
      <w:r w:rsidR="009D3896">
        <w:rPr>
          <w:rFonts w:ascii="Segoe UI" w:hAnsi="Segoe UI" w:cs="Segoe UI"/>
          <w:sz w:val="18"/>
          <w:szCs w:val="18"/>
        </w:rPr>
        <w:t xml:space="preserve"> </w:t>
      </w:r>
      <w:r w:rsidR="00540123">
        <w:rPr>
          <w:rFonts w:ascii="Segoe UI" w:hAnsi="Segoe UI" w:cs="Segoe UI"/>
          <w:sz w:val="18"/>
          <w:szCs w:val="18"/>
        </w:rPr>
        <w:t>that is</w:t>
      </w:r>
      <w:r w:rsidR="009D3896">
        <w:rPr>
          <w:rFonts w:ascii="Segoe UI" w:hAnsi="Segoe UI" w:cs="Segoe UI"/>
          <w:sz w:val="18"/>
          <w:szCs w:val="18"/>
        </w:rPr>
        <w:t xml:space="preserve"> forward looking, this should</w:t>
      </w:r>
      <w:r w:rsidR="00990AC3">
        <w:rPr>
          <w:rFonts w:ascii="Segoe UI" w:hAnsi="Segoe UI" w:cs="Segoe UI"/>
          <w:sz w:val="18"/>
          <w:szCs w:val="18"/>
        </w:rPr>
        <w:t xml:space="preserve"> still</w:t>
      </w:r>
      <w:r w:rsidR="009D3896">
        <w:rPr>
          <w:rFonts w:ascii="Segoe UI" w:hAnsi="Segoe UI" w:cs="Segoe UI"/>
          <w:sz w:val="18"/>
          <w:szCs w:val="18"/>
        </w:rPr>
        <w:t xml:space="preserve"> be made abundantly clear so that </w:t>
      </w:r>
      <w:r w:rsidR="00990AC3">
        <w:rPr>
          <w:rFonts w:ascii="Segoe UI" w:hAnsi="Segoe UI" w:cs="Segoe UI"/>
          <w:sz w:val="18"/>
          <w:szCs w:val="18"/>
        </w:rPr>
        <w:t xml:space="preserve">any </w:t>
      </w:r>
      <w:r w:rsidR="00910E10">
        <w:rPr>
          <w:rFonts w:ascii="Segoe UI" w:hAnsi="Segoe UI" w:cs="Segoe UI"/>
          <w:sz w:val="18"/>
          <w:szCs w:val="18"/>
        </w:rPr>
        <w:t>measurement</w:t>
      </w:r>
      <w:r w:rsidR="00990AC3">
        <w:rPr>
          <w:rFonts w:ascii="Segoe UI" w:hAnsi="Segoe UI" w:cs="Segoe UI"/>
          <w:sz w:val="18"/>
          <w:szCs w:val="18"/>
        </w:rPr>
        <w:t>, if adopted,</w:t>
      </w:r>
      <w:r w:rsidR="009D3896">
        <w:rPr>
          <w:rFonts w:ascii="Segoe UI" w:hAnsi="Segoe UI" w:cs="Segoe UI"/>
          <w:sz w:val="18"/>
          <w:szCs w:val="18"/>
        </w:rPr>
        <w:t xml:space="preserve"> is not misinterpreted</w:t>
      </w:r>
      <w:r w:rsidR="00F96478">
        <w:rPr>
          <w:rFonts w:ascii="Segoe UI" w:hAnsi="Segoe UI" w:cs="Segoe UI"/>
          <w:sz w:val="18"/>
          <w:szCs w:val="18"/>
        </w:rPr>
        <w:t>.</w:t>
      </w:r>
      <w:r w:rsidR="00BC6FF0" w:rsidRPr="00BC6FF0">
        <w:rPr>
          <w:rFonts w:ascii="Segoe UI" w:hAnsi="Segoe UI" w:cs="Segoe UI"/>
          <w:sz w:val="18"/>
          <w:szCs w:val="18"/>
        </w:rPr>
        <w:t xml:space="preserve"> </w:t>
      </w:r>
      <w:r w:rsidR="001B7305">
        <w:rPr>
          <w:rFonts w:ascii="Segoe UI" w:hAnsi="Segoe UI" w:cs="Segoe UI"/>
          <w:sz w:val="18"/>
          <w:szCs w:val="18"/>
        </w:rPr>
        <w:t>I</w:t>
      </w:r>
      <w:r w:rsidR="00723A13" w:rsidRPr="00A82A68">
        <w:rPr>
          <w:rFonts w:ascii="Segoe UI" w:hAnsi="Segoe UI" w:cs="Segoe UI"/>
          <w:sz w:val="18"/>
          <w:szCs w:val="18"/>
        </w:rPr>
        <w:t>t</w:t>
      </w:r>
      <w:r w:rsidR="00D46031">
        <w:rPr>
          <w:rFonts w:ascii="Segoe UI" w:hAnsi="Segoe UI" w:cs="Segoe UI"/>
          <w:sz w:val="18"/>
          <w:szCs w:val="18"/>
        </w:rPr>
        <w:t xml:space="preserve"> is</w:t>
      </w:r>
      <w:r w:rsidR="00723A13" w:rsidRPr="00A82A68">
        <w:rPr>
          <w:rFonts w:ascii="Segoe UI" w:hAnsi="Segoe UI" w:cs="Segoe UI"/>
          <w:sz w:val="18"/>
          <w:szCs w:val="18"/>
        </w:rPr>
        <w:t xml:space="preserve"> extremely important that any simple metric comes with an appropriate health warning – ideally from the regulators themselves, and not just from CCPs.</w:t>
      </w:r>
    </w:p>
    <w:p w14:paraId="75DE94DD" w14:textId="1CC92019" w:rsidR="00471305" w:rsidRPr="00880D3F" w:rsidRDefault="00153BD7" w:rsidP="001E7EC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For each parameter input for the responsiveness and volatility risk metrics, please select your preferred choice from the list below or provide an alternative option. Please provide an explanation and any supporting evidence for your choice.</w:t>
      </w:r>
      <w:r w:rsidR="00A754F4" w:rsidRPr="00880D3F">
        <w:rPr>
          <w:rFonts w:ascii="Segoe UI" w:hAnsi="Segoe UI" w:cs="Segoe UI"/>
          <w:b/>
          <w:bCs/>
          <w:sz w:val="18"/>
          <w:szCs w:val="18"/>
        </w:rPr>
        <w:br/>
      </w:r>
    </w:p>
    <w:p w14:paraId="2DE09B4E" w14:textId="57808A65" w:rsidR="00471305" w:rsidRPr="00880D3F" w:rsidRDefault="00153BD7" w:rsidP="00EA674E">
      <w:pPr>
        <w:pStyle w:val="paragraph"/>
        <w:numPr>
          <w:ilvl w:val="2"/>
          <w:numId w:val="23"/>
        </w:numPr>
        <w:textAlignment w:val="baseline"/>
        <w:rPr>
          <w:rFonts w:ascii="Segoe UI" w:hAnsi="Segoe UI" w:cs="Segoe UI"/>
          <w:b/>
          <w:bCs/>
          <w:sz w:val="18"/>
          <w:szCs w:val="18"/>
        </w:rPr>
      </w:pPr>
      <w:r w:rsidRPr="00880D3F">
        <w:rPr>
          <w:rFonts w:ascii="Segoe UI" w:hAnsi="Segoe UI" w:cs="Segoe UI"/>
          <w:b/>
          <w:bCs/>
          <w:sz w:val="18"/>
          <w:szCs w:val="18"/>
        </w:rPr>
        <w:t>Large call window: five or 20 days.</w:t>
      </w:r>
    </w:p>
    <w:p w14:paraId="4044EE04" w14:textId="77777777" w:rsidR="00471305" w:rsidRPr="00880D3F" w:rsidRDefault="001F1C5F" w:rsidP="00EA674E">
      <w:pPr>
        <w:pStyle w:val="paragraph"/>
        <w:numPr>
          <w:ilvl w:val="2"/>
          <w:numId w:val="23"/>
        </w:numPr>
        <w:textAlignment w:val="baseline"/>
        <w:rPr>
          <w:rFonts w:ascii="Segoe UI" w:hAnsi="Segoe UI" w:cs="Segoe UI"/>
          <w:b/>
          <w:bCs/>
          <w:sz w:val="18"/>
          <w:szCs w:val="18"/>
        </w:rPr>
      </w:pPr>
      <w:r w:rsidRPr="00880D3F">
        <w:rPr>
          <w:rFonts w:ascii="Segoe UI" w:hAnsi="Segoe UI" w:cs="Segoe UI"/>
          <w:b/>
          <w:bCs/>
          <w:sz w:val="18"/>
          <w:szCs w:val="18"/>
        </w:rPr>
        <w:t>Observation period: one quarter or one year.</w:t>
      </w:r>
    </w:p>
    <w:p w14:paraId="5E051503" w14:textId="77777777" w:rsidR="00471305" w:rsidRPr="00880D3F" w:rsidRDefault="001F1C5F" w:rsidP="00EA674E">
      <w:pPr>
        <w:pStyle w:val="paragraph"/>
        <w:numPr>
          <w:ilvl w:val="2"/>
          <w:numId w:val="23"/>
        </w:numPr>
        <w:textAlignment w:val="baseline"/>
        <w:rPr>
          <w:rFonts w:ascii="Segoe UI" w:hAnsi="Segoe UI" w:cs="Segoe UI"/>
          <w:b/>
          <w:bCs/>
          <w:sz w:val="18"/>
          <w:szCs w:val="18"/>
        </w:rPr>
      </w:pPr>
      <w:r w:rsidRPr="00880D3F">
        <w:rPr>
          <w:rFonts w:ascii="Segoe UI" w:hAnsi="Segoe UI" w:cs="Segoe UI"/>
          <w:b/>
          <w:bCs/>
          <w:sz w:val="18"/>
          <w:szCs w:val="18"/>
        </w:rPr>
        <w:t xml:space="preserve">Product vs portfolio reporting: Product, static </w:t>
      </w:r>
      <w:proofErr w:type="gramStart"/>
      <w:r w:rsidRPr="00880D3F">
        <w:rPr>
          <w:rFonts w:ascii="Segoe UI" w:hAnsi="Segoe UI" w:cs="Segoe UI"/>
          <w:b/>
          <w:bCs/>
          <w:sz w:val="18"/>
          <w:szCs w:val="18"/>
        </w:rPr>
        <w:t>portfolio</w:t>
      </w:r>
      <w:proofErr w:type="gramEnd"/>
      <w:r w:rsidRPr="00880D3F">
        <w:rPr>
          <w:rFonts w:ascii="Segoe UI" w:hAnsi="Segoe UI" w:cs="Segoe UI"/>
          <w:b/>
          <w:bCs/>
          <w:sz w:val="18"/>
          <w:szCs w:val="18"/>
        </w:rPr>
        <w:t xml:space="preserve"> or dynamic portfolio. If supporting product-level reporting, please provide information on which products should be reported by the CCPs. If supporting static and/or dynamic portfolio reporting, please provide information on how the portfolios should be determined and an explanation for how that one portfolio would be representative of clearing activity at the CCP. </w:t>
      </w:r>
    </w:p>
    <w:p w14:paraId="51CF7936" w14:textId="77777777" w:rsidR="00471305" w:rsidRPr="00880D3F" w:rsidRDefault="001F1C5F" w:rsidP="00EA674E">
      <w:pPr>
        <w:pStyle w:val="paragraph"/>
        <w:numPr>
          <w:ilvl w:val="2"/>
          <w:numId w:val="23"/>
        </w:numPr>
        <w:textAlignment w:val="baseline"/>
        <w:rPr>
          <w:rFonts w:ascii="Segoe UI" w:hAnsi="Segoe UI" w:cs="Segoe UI"/>
          <w:b/>
          <w:bCs/>
          <w:sz w:val="18"/>
          <w:szCs w:val="18"/>
        </w:rPr>
      </w:pPr>
      <w:r w:rsidRPr="00880D3F">
        <w:rPr>
          <w:rFonts w:ascii="Segoe UI" w:hAnsi="Segoe UI" w:cs="Segoe UI"/>
          <w:b/>
          <w:bCs/>
          <w:sz w:val="18"/>
          <w:szCs w:val="18"/>
        </w:rPr>
        <w:t xml:space="preserve">Volatility risk metric: Standard deviation or </w:t>
      </w:r>
      <w:proofErr w:type="spellStart"/>
      <w:r w:rsidRPr="00880D3F">
        <w:rPr>
          <w:rFonts w:ascii="Segoe UI" w:hAnsi="Segoe UI" w:cs="Segoe UI"/>
          <w:b/>
          <w:bCs/>
          <w:sz w:val="18"/>
          <w:szCs w:val="18"/>
        </w:rPr>
        <w:t>VaR</w:t>
      </w:r>
      <w:proofErr w:type="spellEnd"/>
      <w:r w:rsidRPr="00880D3F">
        <w:rPr>
          <w:rFonts w:ascii="Segoe UI" w:hAnsi="Segoe UI" w:cs="Segoe UI"/>
          <w:b/>
          <w:bCs/>
          <w:sz w:val="18"/>
          <w:szCs w:val="18"/>
        </w:rPr>
        <w:t xml:space="preserve"> (99%).</w:t>
      </w:r>
    </w:p>
    <w:p w14:paraId="56738762" w14:textId="77777777" w:rsidR="00C979A9" w:rsidRPr="00880D3F" w:rsidRDefault="001F1C5F" w:rsidP="00471305">
      <w:pPr>
        <w:pStyle w:val="paragraph"/>
        <w:numPr>
          <w:ilvl w:val="2"/>
          <w:numId w:val="23"/>
        </w:numPr>
        <w:textAlignment w:val="baseline"/>
        <w:rPr>
          <w:rFonts w:ascii="Segoe UI" w:hAnsi="Segoe UI" w:cs="Segoe UI"/>
          <w:b/>
          <w:bCs/>
          <w:sz w:val="18"/>
          <w:szCs w:val="18"/>
        </w:rPr>
      </w:pPr>
      <w:r w:rsidRPr="00880D3F">
        <w:rPr>
          <w:rFonts w:ascii="Segoe UI" w:hAnsi="Segoe UI" w:cs="Segoe UI"/>
          <w:b/>
          <w:bCs/>
          <w:sz w:val="18"/>
          <w:szCs w:val="18"/>
        </w:rPr>
        <w:t>Volatility risk metric lookback period: 90 days or two years.</w:t>
      </w:r>
    </w:p>
    <w:p w14:paraId="6D92713E" w14:textId="368D6376" w:rsidR="00146CA6" w:rsidRPr="00146CA6" w:rsidRDefault="00224D54" w:rsidP="00146CA6">
      <w:pPr>
        <w:pStyle w:val="paragraph"/>
        <w:ind w:left="1440"/>
        <w:textAlignment w:val="baseline"/>
        <w:rPr>
          <w:rFonts w:ascii="Segoe UI" w:hAnsi="Segoe UI" w:cs="Segoe UI"/>
          <w:sz w:val="18"/>
          <w:szCs w:val="18"/>
        </w:rPr>
      </w:pPr>
      <w:r>
        <w:rPr>
          <w:rFonts w:ascii="Segoe UI" w:hAnsi="Segoe UI" w:cs="Segoe UI"/>
          <w:sz w:val="18"/>
          <w:szCs w:val="18"/>
        </w:rPr>
        <w:t xml:space="preserve"> </w:t>
      </w:r>
      <w:r w:rsidR="0082664A">
        <w:rPr>
          <w:rFonts w:ascii="Segoe UI" w:hAnsi="Segoe UI" w:cs="Segoe UI"/>
          <w:sz w:val="18"/>
          <w:szCs w:val="18"/>
        </w:rPr>
        <w:t>Please see above.</w:t>
      </w:r>
    </w:p>
    <w:p w14:paraId="4740C7A3" w14:textId="54041905" w:rsidR="00471305" w:rsidRPr="00880D3F" w:rsidRDefault="001F1C5F" w:rsidP="0047130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lastRenderedPageBreak/>
        <w:t>Are there other parameters where calibration decisions are necessary for consistent disclosure of either margin responsiveness or market volatility?</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990AC3">
        <w:rPr>
          <w:rFonts w:ascii="Segoe UI" w:hAnsi="Segoe UI" w:cs="Segoe UI"/>
          <w:sz w:val="18"/>
          <w:szCs w:val="18"/>
        </w:rPr>
        <w:t>Please see above</w:t>
      </w:r>
      <w:r w:rsidR="0082664A">
        <w:rPr>
          <w:rFonts w:ascii="Segoe UI" w:hAnsi="Segoe UI" w:cs="Segoe UI"/>
          <w:sz w:val="18"/>
          <w:szCs w:val="18"/>
        </w:rPr>
        <w:t>.</w:t>
      </w:r>
      <w:r w:rsidR="00A754F4" w:rsidRPr="00880D3F">
        <w:rPr>
          <w:rFonts w:ascii="Segoe UI" w:hAnsi="Segoe UI" w:cs="Segoe UI"/>
          <w:b/>
          <w:bCs/>
          <w:sz w:val="18"/>
          <w:szCs w:val="18"/>
        </w:rPr>
        <w:br/>
      </w:r>
    </w:p>
    <w:p w14:paraId="04330B56" w14:textId="3C40AC68" w:rsidR="00471305" w:rsidRPr="00880D3F" w:rsidRDefault="001F1C5F" w:rsidP="0047130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Do you foresee any challenges in the development and use of the proposed metric? For instance, are there challenges in applying a harmonised choice of parameter inputs across all CCPs and all products?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990AC3">
        <w:rPr>
          <w:rFonts w:ascii="Segoe UI" w:hAnsi="Segoe UI" w:cs="Segoe UI"/>
          <w:sz w:val="18"/>
          <w:szCs w:val="18"/>
        </w:rPr>
        <w:t>Please see above</w:t>
      </w:r>
      <w:r w:rsidR="0082664A">
        <w:rPr>
          <w:rFonts w:ascii="Segoe UI" w:hAnsi="Segoe UI" w:cs="Segoe UI"/>
          <w:sz w:val="18"/>
          <w:szCs w:val="18"/>
        </w:rPr>
        <w:t>.</w:t>
      </w:r>
      <w:r w:rsidR="00231C6F" w:rsidRPr="00880D3F">
        <w:rPr>
          <w:rFonts w:ascii="Segoe UI" w:hAnsi="Segoe UI" w:cs="Segoe UI"/>
          <w:b/>
          <w:bCs/>
          <w:sz w:val="18"/>
          <w:szCs w:val="18"/>
        </w:rPr>
        <w:br/>
      </w:r>
    </w:p>
    <w:p w14:paraId="32A21EEA" w14:textId="47971154" w:rsidR="00471305" w:rsidRPr="00880D3F" w:rsidRDefault="001F1C5F" w:rsidP="00471305">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t xml:space="preserve">Proposal 7 recommends that CCPs identify and define an analytical framework for assessing margin responsiveness within the broader context of margin coverage and cost. </w:t>
      </w:r>
      <w:r w:rsidR="00A754F4" w:rsidRPr="00880D3F">
        <w:rPr>
          <w:rFonts w:ascii="Segoe UI" w:hAnsi="Segoe UI" w:cs="Segoe UI"/>
          <w:b/>
          <w:bCs/>
          <w:sz w:val="18"/>
          <w:szCs w:val="18"/>
        </w:rPr>
        <w:br/>
      </w:r>
    </w:p>
    <w:p w14:paraId="5A0C420A" w14:textId="052C7E60" w:rsidR="00471305" w:rsidRPr="00880D3F" w:rsidRDefault="001F1C5F" w:rsidP="0047130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 xml:space="preserve">Are there other important balancing factors which should be taken into consideration when evaluating the performance of initial margin models? </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C768D2" w:rsidRPr="00C768D2">
        <w:rPr>
          <w:rFonts w:ascii="Segoe UI" w:hAnsi="Segoe UI" w:cs="Segoe UI"/>
          <w:sz w:val="18"/>
          <w:szCs w:val="18"/>
        </w:rPr>
        <w:t>In general, the WFE agrees that the most important metrics for assessing and evaluating the performance of initial margin models are margin coverage, responsiveness, and cost. However, the</w:t>
      </w:r>
      <w:r w:rsidR="00493D02">
        <w:rPr>
          <w:rFonts w:ascii="Segoe UI" w:hAnsi="Segoe UI" w:cs="Segoe UI"/>
          <w:sz w:val="18"/>
          <w:szCs w:val="18"/>
        </w:rPr>
        <w:t>se</w:t>
      </w:r>
      <w:r w:rsidR="00C768D2" w:rsidRPr="00C768D2">
        <w:rPr>
          <w:rFonts w:ascii="Segoe UI" w:hAnsi="Segoe UI" w:cs="Segoe UI"/>
          <w:sz w:val="18"/>
          <w:szCs w:val="18"/>
        </w:rPr>
        <w:t xml:space="preserve"> three </w:t>
      </w:r>
      <w:r w:rsidR="00493D02">
        <w:rPr>
          <w:rFonts w:ascii="Segoe UI" w:hAnsi="Segoe UI" w:cs="Segoe UI"/>
          <w:sz w:val="18"/>
          <w:szCs w:val="18"/>
        </w:rPr>
        <w:t>factors</w:t>
      </w:r>
      <w:r w:rsidR="00C768D2" w:rsidRPr="00C768D2">
        <w:rPr>
          <w:rFonts w:ascii="Segoe UI" w:hAnsi="Segoe UI" w:cs="Segoe UI"/>
          <w:sz w:val="18"/>
          <w:szCs w:val="18"/>
        </w:rPr>
        <w:t xml:space="preserve"> should not be oversimplified</w:t>
      </w:r>
      <w:r w:rsidR="00B50015">
        <w:rPr>
          <w:rFonts w:ascii="Segoe UI" w:hAnsi="Segoe UI" w:cs="Segoe UI"/>
          <w:sz w:val="18"/>
          <w:szCs w:val="18"/>
        </w:rPr>
        <w:t>, and n</w:t>
      </w:r>
      <w:r w:rsidR="000A6E64" w:rsidRPr="00323C36">
        <w:rPr>
          <w:rFonts w:ascii="Segoe UI" w:hAnsi="Segoe UI" w:cs="Segoe UI"/>
          <w:sz w:val="18"/>
          <w:szCs w:val="18"/>
        </w:rPr>
        <w:t>ot all three of the factors can be considered with equal weight</w:t>
      </w:r>
      <w:r w:rsidR="000A6E64">
        <w:rPr>
          <w:rFonts w:ascii="Segoe UI" w:hAnsi="Segoe UI" w:cs="Segoe UI"/>
          <w:sz w:val="18"/>
          <w:szCs w:val="18"/>
        </w:rPr>
        <w:t xml:space="preserve"> </w:t>
      </w:r>
      <w:r w:rsidR="00714ECF">
        <w:rPr>
          <w:rFonts w:ascii="Segoe UI" w:hAnsi="Segoe UI" w:cs="Segoe UI"/>
          <w:sz w:val="18"/>
          <w:szCs w:val="18"/>
        </w:rPr>
        <w:t>–</w:t>
      </w:r>
      <w:r w:rsidR="000A6E64">
        <w:rPr>
          <w:rFonts w:ascii="Segoe UI" w:hAnsi="Segoe UI" w:cs="Segoe UI"/>
          <w:sz w:val="18"/>
          <w:szCs w:val="18"/>
        </w:rPr>
        <w:t xml:space="preserve"> </w:t>
      </w:r>
      <w:r w:rsidR="00714ECF">
        <w:rPr>
          <w:rFonts w:ascii="Segoe UI" w:hAnsi="Segoe UI" w:cs="Segoe UI"/>
          <w:sz w:val="18"/>
          <w:szCs w:val="18"/>
        </w:rPr>
        <w:t xml:space="preserve">consistent with standard setters’ recognition, </w:t>
      </w:r>
      <w:r w:rsidR="000A6E64" w:rsidRPr="00323C36">
        <w:rPr>
          <w:rFonts w:ascii="Segoe UI" w:hAnsi="Segoe UI" w:cs="Segoe UI"/>
          <w:sz w:val="18"/>
          <w:szCs w:val="18"/>
        </w:rPr>
        <w:t xml:space="preserve">margin coverage </w:t>
      </w:r>
      <w:r w:rsidR="000A6E64">
        <w:rPr>
          <w:rFonts w:ascii="Segoe UI" w:hAnsi="Segoe UI" w:cs="Segoe UI"/>
          <w:sz w:val="18"/>
          <w:szCs w:val="18"/>
        </w:rPr>
        <w:t>should be considered</w:t>
      </w:r>
      <w:r w:rsidR="000A6E64" w:rsidRPr="00323C36">
        <w:rPr>
          <w:rFonts w:ascii="Segoe UI" w:hAnsi="Segoe UI" w:cs="Segoe UI"/>
          <w:sz w:val="18"/>
          <w:szCs w:val="18"/>
        </w:rPr>
        <w:t xml:space="preserve"> the most important factor</w:t>
      </w:r>
      <w:r w:rsidR="000A6E64">
        <w:rPr>
          <w:rFonts w:ascii="Segoe UI" w:hAnsi="Segoe UI" w:cs="Segoe UI"/>
          <w:sz w:val="18"/>
          <w:szCs w:val="18"/>
        </w:rPr>
        <w:t xml:space="preserve">. </w:t>
      </w:r>
      <w:r w:rsidR="00A21326">
        <w:rPr>
          <w:rFonts w:ascii="Segoe UI" w:hAnsi="Segoe UI" w:cs="Segoe UI"/>
          <w:sz w:val="18"/>
          <w:szCs w:val="18"/>
        </w:rPr>
        <w:br/>
      </w:r>
      <w:r w:rsidR="000A6E64">
        <w:rPr>
          <w:rFonts w:ascii="Segoe UI" w:hAnsi="Segoe UI" w:cs="Segoe UI"/>
          <w:sz w:val="18"/>
          <w:szCs w:val="18"/>
        </w:rPr>
        <w:br/>
      </w:r>
      <w:r w:rsidR="00A21326">
        <w:rPr>
          <w:rFonts w:ascii="Segoe UI" w:hAnsi="Segoe UI" w:cs="Segoe UI"/>
          <w:sz w:val="18"/>
          <w:szCs w:val="18"/>
        </w:rPr>
        <w:t xml:space="preserve">It should be noted that </w:t>
      </w:r>
      <w:r w:rsidR="00D33EEA" w:rsidRPr="00880D3F">
        <w:rPr>
          <w:rFonts w:ascii="Segoe UI" w:hAnsi="Segoe UI" w:cs="Segoe UI"/>
          <w:sz w:val="18"/>
          <w:szCs w:val="18"/>
        </w:rPr>
        <w:t xml:space="preserve">CCPs already have policies and procedures in place </w:t>
      </w:r>
      <w:r w:rsidR="009D7F0F" w:rsidRPr="00880D3F">
        <w:rPr>
          <w:rFonts w:ascii="Segoe UI" w:hAnsi="Segoe UI" w:cs="Segoe UI"/>
          <w:sz w:val="18"/>
          <w:szCs w:val="18"/>
        </w:rPr>
        <w:t>for governing margin responsiveness</w:t>
      </w:r>
      <w:r w:rsidR="00FA6493" w:rsidRPr="00880D3F">
        <w:rPr>
          <w:rFonts w:ascii="Segoe UI" w:hAnsi="Segoe UI" w:cs="Segoe UI"/>
          <w:sz w:val="18"/>
          <w:szCs w:val="18"/>
        </w:rPr>
        <w:t xml:space="preserve"> and these are typically found within the CCP rulebook.</w:t>
      </w:r>
      <w:r w:rsidR="00214A6C" w:rsidRPr="00880D3F">
        <w:rPr>
          <w:rFonts w:ascii="Segoe UI" w:hAnsi="Segoe UI" w:cs="Segoe UI"/>
          <w:sz w:val="18"/>
          <w:szCs w:val="18"/>
        </w:rPr>
        <w:t xml:space="preserve"> </w:t>
      </w:r>
      <w:proofErr w:type="gramStart"/>
      <w:r w:rsidR="003A2A08" w:rsidRPr="00880D3F">
        <w:rPr>
          <w:rFonts w:ascii="Segoe UI" w:hAnsi="Segoe UI" w:cs="Segoe UI"/>
          <w:sz w:val="18"/>
          <w:szCs w:val="18"/>
        </w:rPr>
        <w:t>In regards to</w:t>
      </w:r>
      <w:proofErr w:type="gramEnd"/>
      <w:r w:rsidR="003A2A08" w:rsidRPr="00880D3F">
        <w:rPr>
          <w:rFonts w:ascii="Segoe UI" w:hAnsi="Segoe UI" w:cs="Segoe UI"/>
          <w:sz w:val="18"/>
          <w:szCs w:val="18"/>
        </w:rPr>
        <w:t xml:space="preserve"> Proposal 8</w:t>
      </w:r>
      <w:r w:rsidR="009B4E2D" w:rsidRPr="00880D3F">
        <w:rPr>
          <w:rFonts w:ascii="Segoe UI" w:hAnsi="Segoe UI" w:cs="Segoe UI"/>
          <w:sz w:val="18"/>
          <w:szCs w:val="18"/>
        </w:rPr>
        <w:t xml:space="preserve">, there should be a distinction between what is disclosed to the regulator, </w:t>
      </w:r>
      <w:r w:rsidR="00E27569" w:rsidRPr="00880D3F">
        <w:rPr>
          <w:rFonts w:ascii="Segoe UI" w:hAnsi="Segoe UI" w:cs="Segoe UI"/>
          <w:sz w:val="18"/>
          <w:szCs w:val="18"/>
        </w:rPr>
        <w:t>and what is included in PQDs</w:t>
      </w:r>
      <w:r w:rsidR="00054692" w:rsidRPr="00880D3F">
        <w:rPr>
          <w:rFonts w:ascii="Segoe UI" w:hAnsi="Segoe UI" w:cs="Segoe UI"/>
          <w:sz w:val="18"/>
          <w:szCs w:val="18"/>
        </w:rPr>
        <w:t>, when CCPs make use of expert judgement.</w:t>
      </w:r>
      <w:r w:rsidR="00A754F4" w:rsidRPr="00880D3F">
        <w:rPr>
          <w:rFonts w:ascii="Segoe UI" w:hAnsi="Segoe UI" w:cs="Segoe UI"/>
          <w:sz w:val="18"/>
          <w:szCs w:val="18"/>
        </w:rPr>
        <w:br/>
      </w:r>
    </w:p>
    <w:p w14:paraId="1EFA932B" w14:textId="77777777" w:rsidR="007B2549" w:rsidRPr="00880D3F" w:rsidRDefault="001F1C5F" w:rsidP="00471305">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What elements of the “trade-off” framework would most help regulators to better understand how a CCP balances between important risk management factors? In what ways would this framework be useful in identifying cases where a review of the model by the CCP and/or the authority would be beneficial?</w:t>
      </w:r>
    </w:p>
    <w:p w14:paraId="74437B7F" w14:textId="0B5EC0F6" w:rsidR="00231C6F" w:rsidRPr="00880D3F" w:rsidRDefault="00517494" w:rsidP="0077667A">
      <w:pPr>
        <w:pStyle w:val="paragraph"/>
        <w:ind w:left="1440"/>
        <w:textAlignment w:val="baseline"/>
        <w:rPr>
          <w:rFonts w:ascii="Segoe UI" w:hAnsi="Segoe UI" w:cs="Segoe UI"/>
          <w:sz w:val="18"/>
          <w:szCs w:val="18"/>
        </w:rPr>
      </w:pPr>
      <w:r>
        <w:rPr>
          <w:rFonts w:ascii="Segoe UI" w:hAnsi="Segoe UI" w:cs="Segoe UI"/>
          <w:sz w:val="18"/>
          <w:szCs w:val="18"/>
        </w:rPr>
        <w:t>WFE once again emphasi</w:t>
      </w:r>
      <w:r w:rsidR="00337492">
        <w:rPr>
          <w:rFonts w:ascii="Segoe UI" w:hAnsi="Segoe UI" w:cs="Segoe UI"/>
          <w:sz w:val="18"/>
          <w:szCs w:val="18"/>
        </w:rPr>
        <w:t>s</w:t>
      </w:r>
      <w:r>
        <w:rPr>
          <w:rFonts w:ascii="Segoe UI" w:hAnsi="Segoe UI" w:cs="Segoe UI"/>
          <w:sz w:val="18"/>
          <w:szCs w:val="18"/>
        </w:rPr>
        <w:t>es,</w:t>
      </w:r>
      <w:r w:rsidR="00110F04" w:rsidRPr="0064477B">
        <w:rPr>
          <w:rFonts w:ascii="Segoe UI" w:hAnsi="Segoe UI" w:cs="Segoe UI"/>
          <w:sz w:val="18"/>
          <w:szCs w:val="18"/>
        </w:rPr>
        <w:t xml:space="preserve"> that </w:t>
      </w:r>
      <w:r>
        <w:rPr>
          <w:rFonts w:ascii="Segoe UI" w:hAnsi="Segoe UI" w:cs="Segoe UI"/>
          <w:sz w:val="18"/>
          <w:szCs w:val="18"/>
        </w:rPr>
        <w:t xml:space="preserve">in considering these three factors, </w:t>
      </w:r>
      <w:r w:rsidR="00110F04" w:rsidRPr="0064477B">
        <w:rPr>
          <w:rFonts w:ascii="Segoe UI" w:hAnsi="Segoe UI" w:cs="Segoe UI"/>
          <w:sz w:val="18"/>
          <w:szCs w:val="18"/>
        </w:rPr>
        <w:t xml:space="preserve">the </w:t>
      </w:r>
      <w:r w:rsidR="00F83271">
        <w:rPr>
          <w:rFonts w:ascii="Segoe UI" w:hAnsi="Segoe UI" w:cs="Segoe UI"/>
          <w:sz w:val="18"/>
          <w:szCs w:val="18"/>
        </w:rPr>
        <w:t xml:space="preserve">priority should be </w:t>
      </w:r>
      <w:r w:rsidR="00110F04" w:rsidRPr="0064477B">
        <w:rPr>
          <w:rFonts w:ascii="Segoe UI" w:hAnsi="Segoe UI" w:cs="Segoe UI"/>
          <w:sz w:val="18"/>
          <w:szCs w:val="18"/>
        </w:rPr>
        <w:t>ensuring a minimum level of regulator</w:t>
      </w:r>
      <w:r w:rsidR="00F83271">
        <w:rPr>
          <w:rFonts w:ascii="Segoe UI" w:hAnsi="Segoe UI" w:cs="Segoe UI"/>
          <w:sz w:val="18"/>
          <w:szCs w:val="18"/>
        </w:rPr>
        <w:t>il</w:t>
      </w:r>
      <w:r w:rsidR="00110F04" w:rsidRPr="0064477B">
        <w:rPr>
          <w:rFonts w:ascii="Segoe UI" w:hAnsi="Segoe UI" w:cs="Segoe UI"/>
          <w:sz w:val="18"/>
          <w:szCs w:val="18"/>
        </w:rPr>
        <w:t>y required margin coverage.</w:t>
      </w:r>
      <w:r w:rsidR="00110F04" w:rsidRPr="0064477B">
        <w:t xml:space="preserve"> </w:t>
      </w:r>
      <w:r w:rsidR="00110F04" w:rsidRPr="0064477B">
        <w:rPr>
          <w:rFonts w:ascii="Segoe UI" w:hAnsi="Segoe UI" w:cs="Segoe UI"/>
          <w:sz w:val="18"/>
          <w:szCs w:val="18"/>
        </w:rPr>
        <w:t xml:space="preserve">Margin coverage ensures </w:t>
      </w:r>
      <w:r w:rsidR="00110F04">
        <w:rPr>
          <w:rFonts w:ascii="Segoe UI" w:hAnsi="Segoe UI" w:cs="Segoe UI"/>
          <w:sz w:val="18"/>
          <w:szCs w:val="18"/>
        </w:rPr>
        <w:t xml:space="preserve">the </w:t>
      </w:r>
      <w:r w:rsidR="00110F04" w:rsidRPr="0064477B">
        <w:rPr>
          <w:rFonts w:ascii="Segoe UI" w:hAnsi="Segoe UI" w:cs="Segoe UI"/>
          <w:sz w:val="18"/>
          <w:szCs w:val="18"/>
        </w:rPr>
        <w:t>resilience of CCP</w:t>
      </w:r>
      <w:r w:rsidR="002B7FD5">
        <w:rPr>
          <w:rFonts w:ascii="Segoe UI" w:hAnsi="Segoe UI" w:cs="Segoe UI"/>
          <w:sz w:val="18"/>
          <w:szCs w:val="18"/>
        </w:rPr>
        <w:t xml:space="preserve"> and</w:t>
      </w:r>
      <w:r w:rsidR="00110F04" w:rsidRPr="0064477B">
        <w:rPr>
          <w:rFonts w:ascii="Segoe UI" w:hAnsi="Segoe UI" w:cs="Segoe UI"/>
          <w:sz w:val="18"/>
          <w:szCs w:val="18"/>
        </w:rPr>
        <w:t xml:space="preserve"> </w:t>
      </w:r>
      <w:r w:rsidR="008B5D26">
        <w:rPr>
          <w:rFonts w:ascii="Segoe UI" w:hAnsi="Segoe UI" w:cs="Segoe UI"/>
          <w:sz w:val="18"/>
          <w:szCs w:val="18"/>
        </w:rPr>
        <w:t>mitigates</w:t>
      </w:r>
      <w:r w:rsidR="008B5D26" w:rsidRPr="0064477B">
        <w:rPr>
          <w:rFonts w:ascii="Segoe UI" w:hAnsi="Segoe UI" w:cs="Segoe UI"/>
          <w:sz w:val="18"/>
          <w:szCs w:val="18"/>
        </w:rPr>
        <w:t xml:space="preserve"> </w:t>
      </w:r>
      <w:r w:rsidR="00110F04">
        <w:rPr>
          <w:rFonts w:ascii="Segoe UI" w:hAnsi="Segoe UI" w:cs="Segoe UI"/>
          <w:sz w:val="18"/>
          <w:szCs w:val="18"/>
        </w:rPr>
        <w:t>the</w:t>
      </w:r>
      <w:r w:rsidR="008B5D26">
        <w:rPr>
          <w:rFonts w:ascii="Segoe UI" w:hAnsi="Segoe UI" w:cs="Segoe UI"/>
          <w:sz w:val="18"/>
          <w:szCs w:val="18"/>
        </w:rPr>
        <w:t xml:space="preserve"> risk of the</w:t>
      </w:r>
      <w:r w:rsidR="00110F04">
        <w:rPr>
          <w:rFonts w:ascii="Segoe UI" w:hAnsi="Segoe UI" w:cs="Segoe UI"/>
          <w:sz w:val="18"/>
          <w:szCs w:val="18"/>
        </w:rPr>
        <w:t xml:space="preserve"> </w:t>
      </w:r>
      <w:r w:rsidR="00110F04" w:rsidRPr="0064477B">
        <w:rPr>
          <w:rFonts w:ascii="Segoe UI" w:hAnsi="Segoe UI" w:cs="Segoe UI"/>
          <w:sz w:val="18"/>
          <w:szCs w:val="18"/>
        </w:rPr>
        <w:t>mutuali</w:t>
      </w:r>
      <w:r w:rsidR="00F83271">
        <w:rPr>
          <w:rFonts w:ascii="Segoe UI" w:hAnsi="Segoe UI" w:cs="Segoe UI"/>
          <w:sz w:val="18"/>
          <w:szCs w:val="18"/>
        </w:rPr>
        <w:t>s</w:t>
      </w:r>
      <w:r w:rsidR="00110F04" w:rsidRPr="0064477B">
        <w:rPr>
          <w:rFonts w:ascii="Segoe UI" w:hAnsi="Segoe UI" w:cs="Segoe UI"/>
          <w:sz w:val="18"/>
          <w:szCs w:val="18"/>
        </w:rPr>
        <w:t xml:space="preserve">ation </w:t>
      </w:r>
      <w:r w:rsidR="00110F04">
        <w:rPr>
          <w:rFonts w:ascii="Segoe UI" w:hAnsi="Segoe UI" w:cs="Segoe UI"/>
          <w:sz w:val="18"/>
          <w:szCs w:val="18"/>
        </w:rPr>
        <w:t>of losses</w:t>
      </w:r>
      <w:r w:rsidR="00110F04" w:rsidRPr="0064477B">
        <w:rPr>
          <w:rFonts w:ascii="Segoe UI" w:hAnsi="Segoe UI" w:cs="Segoe UI"/>
          <w:sz w:val="18"/>
          <w:szCs w:val="18"/>
        </w:rPr>
        <w:t>, contribut</w:t>
      </w:r>
      <w:r w:rsidR="00110F04">
        <w:rPr>
          <w:rFonts w:ascii="Segoe UI" w:hAnsi="Segoe UI" w:cs="Segoe UI"/>
          <w:sz w:val="18"/>
          <w:szCs w:val="18"/>
        </w:rPr>
        <w:t>ing</w:t>
      </w:r>
      <w:r w:rsidR="00110F04" w:rsidRPr="0064477B">
        <w:rPr>
          <w:rFonts w:ascii="Segoe UI" w:hAnsi="Segoe UI" w:cs="Segoe UI"/>
          <w:sz w:val="18"/>
          <w:szCs w:val="18"/>
        </w:rPr>
        <w:t xml:space="preserve"> positively to financial stability, while </w:t>
      </w:r>
      <w:r w:rsidR="00110F04">
        <w:rPr>
          <w:rFonts w:ascii="Segoe UI" w:hAnsi="Segoe UI" w:cs="Segoe UI"/>
          <w:sz w:val="18"/>
          <w:szCs w:val="18"/>
        </w:rPr>
        <w:t>strict</w:t>
      </w:r>
      <w:r w:rsidR="00110F04" w:rsidRPr="0064477B">
        <w:rPr>
          <w:rFonts w:ascii="Segoe UI" w:hAnsi="Segoe UI" w:cs="Segoe UI"/>
          <w:sz w:val="18"/>
          <w:szCs w:val="18"/>
        </w:rPr>
        <w:t xml:space="preserve"> requirements </w:t>
      </w:r>
      <w:r w:rsidR="00110F04">
        <w:rPr>
          <w:rFonts w:ascii="Segoe UI" w:hAnsi="Segoe UI" w:cs="Segoe UI"/>
          <w:sz w:val="18"/>
          <w:szCs w:val="18"/>
        </w:rPr>
        <w:t>for</w:t>
      </w:r>
      <w:r w:rsidR="00110F04" w:rsidRPr="0064477B">
        <w:rPr>
          <w:rFonts w:ascii="Segoe UI" w:hAnsi="Segoe UI" w:cs="Segoe UI"/>
          <w:sz w:val="18"/>
          <w:szCs w:val="18"/>
        </w:rPr>
        <w:t xml:space="preserve"> margin responsiveness </w:t>
      </w:r>
      <w:r w:rsidR="00110F04">
        <w:rPr>
          <w:rFonts w:ascii="Segoe UI" w:hAnsi="Segoe UI" w:cs="Segoe UI"/>
          <w:sz w:val="18"/>
          <w:szCs w:val="18"/>
        </w:rPr>
        <w:t>may</w:t>
      </w:r>
      <w:r w:rsidR="00110F04" w:rsidRPr="0064477B">
        <w:rPr>
          <w:rFonts w:ascii="Segoe UI" w:hAnsi="Segoe UI" w:cs="Segoe UI"/>
          <w:sz w:val="18"/>
          <w:szCs w:val="18"/>
        </w:rPr>
        <w:t xml:space="preserve"> lead to insufficient margin coverage </w:t>
      </w:r>
      <w:r w:rsidR="00110F04">
        <w:rPr>
          <w:rFonts w:ascii="Segoe UI" w:hAnsi="Segoe UI" w:cs="Segoe UI"/>
          <w:sz w:val="18"/>
          <w:szCs w:val="18"/>
        </w:rPr>
        <w:t>during</w:t>
      </w:r>
      <w:r w:rsidR="00110F04" w:rsidRPr="0064477B">
        <w:rPr>
          <w:rFonts w:ascii="Segoe UI" w:hAnsi="Segoe UI" w:cs="Segoe UI"/>
          <w:sz w:val="18"/>
          <w:szCs w:val="18"/>
        </w:rPr>
        <w:t xml:space="preserve"> cris</w:t>
      </w:r>
      <w:r w:rsidR="00110F04">
        <w:rPr>
          <w:rFonts w:ascii="Segoe UI" w:hAnsi="Segoe UI" w:cs="Segoe UI"/>
          <w:sz w:val="18"/>
          <w:szCs w:val="18"/>
        </w:rPr>
        <w:t>e</w:t>
      </w:r>
      <w:r w:rsidR="00110F04" w:rsidRPr="0064477B">
        <w:rPr>
          <w:rFonts w:ascii="Segoe UI" w:hAnsi="Segoe UI" w:cs="Segoe UI"/>
          <w:sz w:val="18"/>
          <w:szCs w:val="18"/>
        </w:rPr>
        <w:t>s.</w:t>
      </w:r>
      <w:r w:rsidR="00110F04">
        <w:rPr>
          <w:rFonts w:ascii="Segoe UI" w:hAnsi="Segoe UI" w:cs="Segoe UI"/>
          <w:sz w:val="18"/>
          <w:szCs w:val="18"/>
        </w:rPr>
        <w:t xml:space="preserve"> </w:t>
      </w:r>
      <w:r w:rsidR="00110F04" w:rsidRPr="00963648">
        <w:rPr>
          <w:rFonts w:ascii="Segoe UI" w:hAnsi="Segoe UI" w:cs="Segoe UI"/>
          <w:sz w:val="18"/>
          <w:szCs w:val="18"/>
        </w:rPr>
        <w:t>The “</w:t>
      </w:r>
      <w:r w:rsidR="00110F04">
        <w:rPr>
          <w:rFonts w:ascii="Segoe UI" w:hAnsi="Segoe UI" w:cs="Segoe UI"/>
          <w:sz w:val="18"/>
          <w:szCs w:val="18"/>
        </w:rPr>
        <w:t>m</w:t>
      </w:r>
      <w:r w:rsidR="00110F04" w:rsidRPr="00963648">
        <w:rPr>
          <w:rFonts w:ascii="Segoe UI" w:hAnsi="Segoe UI" w:cs="Segoe UI"/>
          <w:sz w:val="18"/>
          <w:szCs w:val="18"/>
        </w:rPr>
        <w:t xml:space="preserve">argin </w:t>
      </w:r>
      <w:r w:rsidR="00110F04">
        <w:rPr>
          <w:rFonts w:ascii="Segoe UI" w:hAnsi="Segoe UI" w:cs="Segoe UI"/>
          <w:sz w:val="18"/>
          <w:szCs w:val="18"/>
        </w:rPr>
        <w:t>c</w:t>
      </w:r>
      <w:r w:rsidR="00110F04" w:rsidRPr="00963648">
        <w:rPr>
          <w:rFonts w:ascii="Segoe UI" w:hAnsi="Segoe UI" w:cs="Segoe UI"/>
          <w:sz w:val="18"/>
          <w:szCs w:val="18"/>
        </w:rPr>
        <w:t xml:space="preserve">ost” element is entirely the responsibility of </w:t>
      </w:r>
      <w:r w:rsidR="00110F04">
        <w:rPr>
          <w:rFonts w:ascii="Segoe UI" w:hAnsi="Segoe UI" w:cs="Segoe UI"/>
          <w:sz w:val="18"/>
          <w:szCs w:val="18"/>
        </w:rPr>
        <w:t xml:space="preserve">the </w:t>
      </w:r>
      <w:r w:rsidR="00110F04" w:rsidRPr="00963648">
        <w:rPr>
          <w:rFonts w:ascii="Segoe UI" w:hAnsi="Segoe UI" w:cs="Segoe UI"/>
          <w:sz w:val="18"/>
          <w:szCs w:val="18"/>
        </w:rPr>
        <w:t xml:space="preserve">CCP. </w:t>
      </w:r>
      <w:r w:rsidR="00110F04">
        <w:rPr>
          <w:rFonts w:ascii="Segoe UI" w:hAnsi="Segoe UI" w:cs="Segoe UI"/>
          <w:sz w:val="18"/>
          <w:szCs w:val="18"/>
        </w:rPr>
        <w:t>It</w:t>
      </w:r>
      <w:r w:rsidR="00110F04" w:rsidRPr="00963648">
        <w:rPr>
          <w:rFonts w:ascii="Segoe UI" w:hAnsi="Segoe UI" w:cs="Segoe UI"/>
          <w:sz w:val="18"/>
          <w:szCs w:val="18"/>
        </w:rPr>
        <w:t xml:space="preserve"> is a </w:t>
      </w:r>
      <w:r w:rsidR="008B5D26">
        <w:rPr>
          <w:rFonts w:ascii="Segoe UI" w:hAnsi="Segoe UI" w:cs="Segoe UI"/>
          <w:sz w:val="18"/>
          <w:szCs w:val="18"/>
        </w:rPr>
        <w:t>risk management</w:t>
      </w:r>
      <w:r w:rsidR="008B5D26" w:rsidRPr="00963648">
        <w:rPr>
          <w:rFonts w:ascii="Segoe UI" w:hAnsi="Segoe UI" w:cs="Segoe UI"/>
          <w:sz w:val="18"/>
          <w:szCs w:val="18"/>
        </w:rPr>
        <w:t xml:space="preserve"> </w:t>
      </w:r>
      <w:r w:rsidR="00110F04" w:rsidRPr="00963648">
        <w:rPr>
          <w:rFonts w:ascii="Segoe UI" w:hAnsi="Segoe UI" w:cs="Segoe UI"/>
          <w:sz w:val="18"/>
          <w:szCs w:val="18"/>
        </w:rPr>
        <w:t xml:space="preserve">decision </w:t>
      </w:r>
      <w:r w:rsidR="00110F04">
        <w:rPr>
          <w:rFonts w:ascii="Segoe UI" w:hAnsi="Segoe UI" w:cs="Segoe UI"/>
          <w:sz w:val="18"/>
          <w:szCs w:val="18"/>
        </w:rPr>
        <w:t>f</w:t>
      </w:r>
      <w:r w:rsidR="00110F04" w:rsidRPr="00963648">
        <w:rPr>
          <w:rFonts w:ascii="Segoe UI" w:hAnsi="Segoe UI" w:cs="Segoe UI"/>
          <w:sz w:val="18"/>
          <w:szCs w:val="18"/>
        </w:rPr>
        <w:t>or CCP</w:t>
      </w:r>
      <w:r w:rsidR="00110F04">
        <w:rPr>
          <w:rFonts w:ascii="Segoe UI" w:hAnsi="Segoe UI" w:cs="Segoe UI"/>
          <w:sz w:val="18"/>
          <w:szCs w:val="18"/>
        </w:rPr>
        <w:t>s</w:t>
      </w:r>
      <w:r w:rsidR="00110F04" w:rsidRPr="00963648">
        <w:rPr>
          <w:rFonts w:ascii="Segoe UI" w:hAnsi="Segoe UI" w:cs="Segoe UI"/>
          <w:sz w:val="18"/>
          <w:szCs w:val="18"/>
        </w:rPr>
        <w:t xml:space="preserve"> to </w:t>
      </w:r>
      <w:r w:rsidR="00110F04">
        <w:rPr>
          <w:rFonts w:ascii="Segoe UI" w:hAnsi="Segoe UI" w:cs="Segoe UI"/>
          <w:sz w:val="18"/>
          <w:szCs w:val="18"/>
        </w:rPr>
        <w:t xml:space="preserve">find the </w:t>
      </w:r>
      <w:r w:rsidR="00110F04" w:rsidRPr="00963648">
        <w:rPr>
          <w:rFonts w:ascii="Segoe UI" w:hAnsi="Segoe UI" w:cs="Segoe UI"/>
          <w:sz w:val="18"/>
          <w:szCs w:val="18"/>
        </w:rPr>
        <w:t xml:space="preserve">balance </w:t>
      </w:r>
      <w:r w:rsidR="00110F04">
        <w:rPr>
          <w:rFonts w:ascii="Segoe UI" w:hAnsi="Segoe UI" w:cs="Segoe UI"/>
          <w:sz w:val="18"/>
          <w:szCs w:val="18"/>
        </w:rPr>
        <w:t xml:space="preserve">between financial resources for </w:t>
      </w:r>
      <w:r w:rsidR="00110F04" w:rsidRPr="00963648">
        <w:rPr>
          <w:rFonts w:ascii="Segoe UI" w:hAnsi="Segoe UI" w:cs="Segoe UI"/>
          <w:sz w:val="18"/>
          <w:szCs w:val="18"/>
        </w:rPr>
        <w:t xml:space="preserve">margins and </w:t>
      </w:r>
      <w:r w:rsidR="00110F04">
        <w:rPr>
          <w:rFonts w:ascii="Segoe UI" w:hAnsi="Segoe UI" w:cs="Segoe UI"/>
          <w:sz w:val="18"/>
          <w:szCs w:val="18"/>
        </w:rPr>
        <w:t xml:space="preserve">the </w:t>
      </w:r>
      <w:r w:rsidR="00110F04" w:rsidRPr="00963648">
        <w:rPr>
          <w:rFonts w:ascii="Segoe UI" w:hAnsi="Segoe UI" w:cs="Segoe UI"/>
          <w:sz w:val="18"/>
          <w:szCs w:val="18"/>
        </w:rPr>
        <w:t>default fund while ensuring adequate coverage and responsiveness. It should not be the regulator's job to make operational decisions for CCPs.</w:t>
      </w:r>
    </w:p>
    <w:p w14:paraId="1503841B" w14:textId="0980A29A" w:rsidR="00231C6F" w:rsidRPr="00880D3F" w:rsidRDefault="001F1C5F" w:rsidP="00231C6F">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t xml:space="preserve">Proposal 9 recommends </w:t>
      </w:r>
      <w:proofErr w:type="gramStart"/>
      <w:r w:rsidRPr="00880D3F">
        <w:rPr>
          <w:rFonts w:ascii="Segoe UI" w:hAnsi="Segoe UI" w:cs="Segoe UI"/>
          <w:b/>
          <w:bCs/>
          <w:sz w:val="18"/>
          <w:szCs w:val="18"/>
        </w:rPr>
        <w:t>a number of</w:t>
      </w:r>
      <w:proofErr w:type="gramEnd"/>
      <w:r w:rsidRPr="00880D3F">
        <w:rPr>
          <w:rFonts w:ascii="Segoe UI" w:hAnsi="Segoe UI" w:cs="Segoe UI"/>
          <w:b/>
          <w:bCs/>
          <w:sz w:val="18"/>
          <w:szCs w:val="18"/>
        </w:rPr>
        <w:t xml:space="preserve"> enhancements to CM-to-client transparency.</w:t>
      </w:r>
      <w:r w:rsidR="00A754F4" w:rsidRPr="00880D3F">
        <w:rPr>
          <w:rFonts w:ascii="Segoe UI" w:hAnsi="Segoe UI" w:cs="Segoe UI"/>
          <w:b/>
          <w:bCs/>
          <w:sz w:val="18"/>
          <w:szCs w:val="18"/>
        </w:rPr>
        <w:br/>
      </w:r>
    </w:p>
    <w:p w14:paraId="31771897" w14:textId="0E48DC42" w:rsidR="00231C6F" w:rsidRPr="00880D3F" w:rsidRDefault="001F1C5F" w:rsidP="00597114">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 xml:space="preserve">Are there aspects of the proposal that would be particularly valuable for clients, and are there aspects of the proposal that would be particularly challenging for CMs to meet? </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C252E3" w:rsidRPr="00880D3F">
        <w:rPr>
          <w:rFonts w:ascii="Segoe UI" w:hAnsi="Segoe UI" w:cs="Segoe UI"/>
          <w:sz w:val="18"/>
          <w:szCs w:val="18"/>
        </w:rPr>
        <w:t>The WFE supports the proposal for CMs to ensure their clients have sufficient understanding of both CCP</w:t>
      </w:r>
      <w:r w:rsidR="008C6B18" w:rsidRPr="00880D3F">
        <w:rPr>
          <w:rFonts w:ascii="Segoe UI" w:hAnsi="Segoe UI" w:cs="Segoe UI"/>
          <w:sz w:val="18"/>
          <w:szCs w:val="18"/>
        </w:rPr>
        <w:t xml:space="preserve"> </w:t>
      </w:r>
      <w:r w:rsidR="00F353FE" w:rsidRPr="00880D3F">
        <w:rPr>
          <w:rFonts w:ascii="Segoe UI" w:hAnsi="Segoe UI" w:cs="Segoe UI"/>
          <w:sz w:val="18"/>
          <w:szCs w:val="18"/>
        </w:rPr>
        <w:t xml:space="preserve">and </w:t>
      </w:r>
      <w:r w:rsidR="008C6B18" w:rsidRPr="00880D3F">
        <w:rPr>
          <w:rFonts w:ascii="Segoe UI" w:hAnsi="Segoe UI" w:cs="Segoe UI"/>
          <w:sz w:val="18"/>
          <w:szCs w:val="18"/>
        </w:rPr>
        <w:t xml:space="preserve">CM </w:t>
      </w:r>
      <w:r w:rsidR="00F353FE" w:rsidRPr="00880D3F">
        <w:rPr>
          <w:rFonts w:ascii="Segoe UI" w:hAnsi="Segoe UI" w:cs="Segoe UI"/>
          <w:sz w:val="18"/>
          <w:szCs w:val="18"/>
        </w:rPr>
        <w:t xml:space="preserve">margin </w:t>
      </w:r>
      <w:r w:rsidR="00B867C0">
        <w:rPr>
          <w:rFonts w:ascii="Segoe UI" w:hAnsi="Segoe UI" w:cs="Segoe UI"/>
          <w:sz w:val="18"/>
          <w:szCs w:val="18"/>
        </w:rPr>
        <w:t>requirements</w:t>
      </w:r>
      <w:r w:rsidR="008C6B18" w:rsidRPr="00880D3F">
        <w:rPr>
          <w:rFonts w:ascii="Segoe UI" w:hAnsi="Segoe UI" w:cs="Segoe UI"/>
          <w:sz w:val="18"/>
          <w:szCs w:val="18"/>
        </w:rPr>
        <w:t xml:space="preserve">, </w:t>
      </w:r>
      <w:r w:rsidR="00597114" w:rsidRPr="00880D3F">
        <w:rPr>
          <w:rFonts w:ascii="Segoe UI" w:hAnsi="Segoe UI" w:cs="Segoe UI"/>
          <w:sz w:val="18"/>
          <w:szCs w:val="18"/>
        </w:rPr>
        <w:t xml:space="preserve">as well as the process and scheduling around the collection of </w:t>
      </w:r>
      <w:proofErr w:type="gramStart"/>
      <w:r w:rsidR="00597114" w:rsidRPr="00880D3F">
        <w:rPr>
          <w:rFonts w:ascii="Segoe UI" w:hAnsi="Segoe UI" w:cs="Segoe UI"/>
          <w:sz w:val="18"/>
          <w:szCs w:val="18"/>
        </w:rPr>
        <w:t>margin</w:t>
      </w:r>
      <w:proofErr w:type="gramEnd"/>
      <w:r w:rsidR="00585457" w:rsidRPr="00880D3F">
        <w:rPr>
          <w:rFonts w:ascii="Segoe UI" w:hAnsi="Segoe UI" w:cs="Segoe UI"/>
          <w:sz w:val="18"/>
          <w:szCs w:val="18"/>
        </w:rPr>
        <w:t>.</w:t>
      </w:r>
      <w:r w:rsidR="005A4A2D">
        <w:rPr>
          <w:rFonts w:ascii="Segoe UI" w:hAnsi="Segoe UI" w:cs="Segoe UI"/>
          <w:sz w:val="18"/>
          <w:szCs w:val="18"/>
        </w:rPr>
        <w:t xml:space="preserve"> </w:t>
      </w:r>
      <w:r w:rsidR="005A4A2D" w:rsidRPr="005A4A2D">
        <w:rPr>
          <w:rFonts w:ascii="Segoe UI" w:hAnsi="Segoe UI" w:cs="Segoe UI"/>
          <w:sz w:val="18"/>
          <w:szCs w:val="18"/>
        </w:rPr>
        <w:t xml:space="preserve">CCPs are already extremely transparent, so ensuring that CMs also provide transparency into their margining practices to clients benefits the overall system by </w:t>
      </w:r>
      <w:r w:rsidR="00116CC6">
        <w:rPr>
          <w:rFonts w:ascii="Segoe UI" w:hAnsi="Segoe UI" w:cs="Segoe UI"/>
          <w:sz w:val="18"/>
          <w:szCs w:val="18"/>
        </w:rPr>
        <w:t>improving</w:t>
      </w:r>
      <w:r w:rsidR="005A4A2D" w:rsidRPr="005A4A2D">
        <w:rPr>
          <w:rFonts w:ascii="Segoe UI" w:hAnsi="Segoe UI" w:cs="Segoe UI"/>
          <w:sz w:val="18"/>
          <w:szCs w:val="18"/>
        </w:rPr>
        <w:t xml:space="preserve"> clients</w:t>
      </w:r>
      <w:r w:rsidR="00116CC6">
        <w:rPr>
          <w:rFonts w:ascii="Segoe UI" w:hAnsi="Segoe UI" w:cs="Segoe UI"/>
          <w:sz w:val="18"/>
          <w:szCs w:val="18"/>
        </w:rPr>
        <w:t>’</w:t>
      </w:r>
      <w:r w:rsidR="005A4A2D" w:rsidRPr="005A4A2D">
        <w:rPr>
          <w:rFonts w:ascii="Segoe UI" w:hAnsi="Segoe UI" w:cs="Segoe UI"/>
          <w:sz w:val="18"/>
          <w:szCs w:val="18"/>
        </w:rPr>
        <w:t xml:space="preserve"> understanding of the CMs margining practices.</w:t>
      </w:r>
      <w:r w:rsidR="00EA21B5">
        <w:rPr>
          <w:rFonts w:ascii="Segoe UI" w:hAnsi="Segoe UI" w:cs="Segoe UI"/>
          <w:sz w:val="18"/>
          <w:szCs w:val="18"/>
        </w:rPr>
        <w:t xml:space="preserve"> </w:t>
      </w:r>
      <w:r w:rsidR="00EA21B5" w:rsidRPr="00EA21B5">
        <w:rPr>
          <w:rFonts w:ascii="Segoe UI" w:hAnsi="Segoe UI" w:cs="Segoe UI"/>
          <w:sz w:val="18"/>
          <w:szCs w:val="18"/>
        </w:rPr>
        <w:t>Additionally, we do not think that there are any aspects of the proposal that would be challenging or overly onerous for CMs to meet.</w:t>
      </w:r>
      <w:r w:rsidR="00597114" w:rsidRPr="00880D3F">
        <w:rPr>
          <w:rFonts w:ascii="Segoe UI" w:hAnsi="Segoe UI" w:cs="Segoe UI"/>
          <w:b/>
          <w:bCs/>
          <w:sz w:val="18"/>
          <w:szCs w:val="18"/>
        </w:rPr>
        <w:br/>
      </w:r>
    </w:p>
    <w:p w14:paraId="224B5F50" w14:textId="08263DAE" w:rsidR="00231C6F" w:rsidRPr="00880D3F" w:rsidRDefault="001F1C5F" w:rsidP="00231C6F">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Do CMs currently provide any form of simulation tool, in addition to the tools provided by CCPs? For those who currently do not, what is the feasibility of CMs developing such tools? What functionality would be of most use to clients in CM-designed simulators?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B867C0">
        <w:rPr>
          <w:rFonts w:ascii="Segoe UI" w:hAnsi="Segoe UI" w:cs="Segoe UI"/>
          <w:sz w:val="18"/>
          <w:szCs w:val="18"/>
        </w:rPr>
        <w:lastRenderedPageBreak/>
        <w:t>No comment</w:t>
      </w:r>
      <w:r w:rsidR="0002675D" w:rsidRPr="00880D3F">
        <w:rPr>
          <w:rFonts w:ascii="Segoe UI" w:hAnsi="Segoe UI" w:cs="Segoe UI"/>
          <w:sz w:val="18"/>
          <w:szCs w:val="18"/>
        </w:rPr>
        <w:t>.</w:t>
      </w:r>
      <w:r w:rsidR="00A754F4" w:rsidRPr="00880D3F">
        <w:rPr>
          <w:rFonts w:ascii="Segoe UI" w:hAnsi="Segoe UI" w:cs="Segoe UI"/>
          <w:b/>
          <w:bCs/>
          <w:sz w:val="18"/>
          <w:szCs w:val="18"/>
        </w:rPr>
        <w:br/>
      </w:r>
    </w:p>
    <w:p w14:paraId="2E29EC47" w14:textId="74E624ED" w:rsidR="00231C6F" w:rsidRPr="00880D3F" w:rsidRDefault="001F1C5F" w:rsidP="00C87188">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On the proposed quantitative disclosure described in 9e), do you have supportive or alternate views on the information that should be provided and the format in which the information should be disclosed?</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4E514F" w:rsidRPr="00880D3F">
        <w:rPr>
          <w:rFonts w:ascii="Segoe UI" w:hAnsi="Segoe UI" w:cs="Segoe UI"/>
          <w:sz w:val="18"/>
          <w:szCs w:val="18"/>
        </w:rPr>
        <w:t xml:space="preserve">The WFE supports the </w:t>
      </w:r>
      <w:r w:rsidR="00EC50C2" w:rsidRPr="00880D3F">
        <w:rPr>
          <w:rFonts w:ascii="Segoe UI" w:hAnsi="Segoe UI" w:cs="Segoe UI"/>
          <w:sz w:val="18"/>
          <w:szCs w:val="18"/>
        </w:rPr>
        <w:t>disclos</w:t>
      </w:r>
      <w:r w:rsidR="00EC50C2">
        <w:rPr>
          <w:rFonts w:ascii="Segoe UI" w:hAnsi="Segoe UI" w:cs="Segoe UI"/>
          <w:sz w:val="18"/>
          <w:szCs w:val="18"/>
        </w:rPr>
        <w:t>ure</w:t>
      </w:r>
      <w:r w:rsidR="00EC50C2" w:rsidRPr="00880D3F">
        <w:rPr>
          <w:rFonts w:ascii="Segoe UI" w:hAnsi="Segoe UI" w:cs="Segoe UI"/>
          <w:sz w:val="18"/>
          <w:szCs w:val="18"/>
        </w:rPr>
        <w:t xml:space="preserve"> </w:t>
      </w:r>
      <w:r w:rsidR="004E514F" w:rsidRPr="00880D3F">
        <w:rPr>
          <w:rFonts w:ascii="Segoe UI" w:hAnsi="Segoe UI" w:cs="Segoe UI"/>
          <w:sz w:val="18"/>
          <w:szCs w:val="18"/>
        </w:rPr>
        <w:t>of backward-looking information on the maximum, minimum and average differences between client margin requirements set by the CM and the margin requirements of the CCP over a defined period of time.</w:t>
      </w:r>
      <w:r w:rsidR="00A754F4" w:rsidRPr="00880D3F">
        <w:rPr>
          <w:rFonts w:ascii="Segoe UI" w:hAnsi="Segoe UI" w:cs="Segoe UI"/>
          <w:b/>
          <w:bCs/>
          <w:sz w:val="18"/>
          <w:szCs w:val="18"/>
        </w:rPr>
        <w:br/>
      </w:r>
    </w:p>
    <w:p w14:paraId="68B24DAD" w14:textId="301AED36" w:rsidR="00231C6F" w:rsidRPr="00880D3F" w:rsidRDefault="001F1C5F" w:rsidP="00196CFE">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Do you agree that CMs should adopt an analytical framework for measuring the responsiveness of initial margin requirements for their clients, similar in nature to the proposed framework for CCPs described in Proposal 7? If so, in what ways might that framework need to differ from that used by CCPs, and in what ways might this depend on the type of CM covered?</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3F6622" w:rsidRPr="00880D3F">
        <w:rPr>
          <w:rFonts w:ascii="Segoe UI" w:hAnsi="Segoe UI" w:cs="Segoe UI"/>
          <w:sz w:val="18"/>
          <w:szCs w:val="18"/>
        </w:rPr>
        <w:t>Yes</w:t>
      </w:r>
      <w:r w:rsidR="002C4424" w:rsidRPr="00880D3F">
        <w:rPr>
          <w:rFonts w:ascii="Segoe UI" w:hAnsi="Segoe UI" w:cs="Segoe UI"/>
          <w:sz w:val="18"/>
          <w:szCs w:val="18"/>
        </w:rPr>
        <w:t xml:space="preserve">. The survey results presented in the </w:t>
      </w:r>
      <w:r w:rsidR="002C4424" w:rsidRPr="00880D3F">
        <w:rPr>
          <w:rFonts w:ascii="Segoe UI" w:hAnsi="Segoe UI" w:cs="Segoe UI"/>
          <w:i/>
          <w:iCs/>
          <w:sz w:val="18"/>
          <w:szCs w:val="18"/>
        </w:rPr>
        <w:t>2022 Review of Margining Practices</w:t>
      </w:r>
      <w:r w:rsidR="002C4424" w:rsidRPr="00880D3F">
        <w:rPr>
          <w:rFonts w:ascii="Segoe UI" w:hAnsi="Segoe UI" w:cs="Segoe UI"/>
          <w:sz w:val="18"/>
          <w:szCs w:val="18"/>
        </w:rPr>
        <w:t xml:space="preserve"> showed that some clients considered </w:t>
      </w:r>
      <w:r w:rsidR="003503CF" w:rsidRPr="00880D3F">
        <w:rPr>
          <w:rFonts w:ascii="Segoe UI" w:hAnsi="Segoe UI" w:cs="Segoe UI"/>
          <w:sz w:val="18"/>
          <w:szCs w:val="18"/>
        </w:rPr>
        <w:t xml:space="preserve">that </w:t>
      </w:r>
      <w:r w:rsidR="002C4424" w:rsidRPr="00880D3F">
        <w:rPr>
          <w:rFonts w:ascii="Segoe UI" w:hAnsi="Segoe UI" w:cs="Segoe UI"/>
          <w:sz w:val="18"/>
          <w:szCs w:val="18"/>
        </w:rPr>
        <w:t xml:space="preserve">the actions of intermediaries could have contributed to margin unpredictability and that mismatches between the processes and </w:t>
      </w:r>
      <w:r w:rsidR="003503CF" w:rsidRPr="00880D3F">
        <w:rPr>
          <w:rFonts w:ascii="Segoe UI" w:hAnsi="Segoe UI" w:cs="Segoe UI"/>
          <w:sz w:val="18"/>
          <w:szCs w:val="18"/>
        </w:rPr>
        <w:t>the</w:t>
      </w:r>
      <w:r w:rsidR="002C4424" w:rsidRPr="00880D3F">
        <w:rPr>
          <w:rFonts w:ascii="Segoe UI" w:hAnsi="Segoe UI" w:cs="Segoe UI"/>
          <w:sz w:val="18"/>
          <w:szCs w:val="18"/>
        </w:rPr>
        <w:t xml:space="preserve"> timing at different intermediaries could have increased the need for clients to hold liquidity buffers</w:t>
      </w:r>
      <w:r w:rsidR="00E87C35">
        <w:rPr>
          <w:rStyle w:val="FootnoteReference"/>
          <w:rFonts w:ascii="Segoe UI" w:hAnsi="Segoe UI" w:cs="Segoe UI"/>
          <w:sz w:val="18"/>
          <w:szCs w:val="18"/>
        </w:rPr>
        <w:footnoteReference w:id="3"/>
      </w:r>
      <w:r w:rsidR="002C4424" w:rsidRPr="00880D3F">
        <w:rPr>
          <w:rFonts w:ascii="Segoe UI" w:hAnsi="Segoe UI" w:cs="Segoe UI"/>
          <w:sz w:val="18"/>
          <w:szCs w:val="18"/>
        </w:rPr>
        <w:t>.</w:t>
      </w:r>
      <w:r w:rsidR="002E5D93" w:rsidRPr="002E5D93">
        <w:t xml:space="preserve"> </w:t>
      </w:r>
      <w:r w:rsidR="002E5D93">
        <w:rPr>
          <w:rFonts w:ascii="Segoe UI" w:hAnsi="Segoe UI" w:cs="Segoe UI"/>
          <w:sz w:val="18"/>
          <w:szCs w:val="18"/>
        </w:rPr>
        <w:t>T</w:t>
      </w:r>
      <w:r w:rsidR="002E5D93" w:rsidRPr="002E5D93">
        <w:rPr>
          <w:rFonts w:ascii="Segoe UI" w:hAnsi="Segoe UI" w:cs="Segoe UI"/>
          <w:sz w:val="18"/>
          <w:szCs w:val="18"/>
        </w:rPr>
        <w:t xml:space="preserve">his is an area which has not had a lot of focus to date and </w:t>
      </w:r>
      <w:proofErr w:type="gramStart"/>
      <w:r w:rsidR="002E5D93" w:rsidRPr="002E5D93">
        <w:rPr>
          <w:rFonts w:ascii="Segoe UI" w:hAnsi="Segoe UI" w:cs="Segoe UI"/>
          <w:sz w:val="18"/>
          <w:szCs w:val="18"/>
        </w:rPr>
        <w:t>is in need of</w:t>
      </w:r>
      <w:proofErr w:type="gramEnd"/>
      <w:r w:rsidR="002E5D93" w:rsidRPr="002E5D93">
        <w:rPr>
          <w:rFonts w:ascii="Segoe UI" w:hAnsi="Segoe UI" w:cs="Segoe UI"/>
          <w:sz w:val="18"/>
          <w:szCs w:val="18"/>
        </w:rPr>
        <w:t xml:space="preserve"> increased transparency.</w:t>
      </w:r>
      <w:r w:rsidR="00A754F4" w:rsidRPr="00880D3F">
        <w:rPr>
          <w:rFonts w:ascii="Segoe UI" w:hAnsi="Segoe UI" w:cs="Segoe UI"/>
          <w:b/>
          <w:bCs/>
          <w:sz w:val="18"/>
          <w:szCs w:val="18"/>
        </w:rPr>
        <w:br/>
      </w:r>
    </w:p>
    <w:p w14:paraId="6D44488F" w14:textId="7E63B21C" w:rsidR="00231C6F" w:rsidRPr="00880D3F" w:rsidRDefault="001F1C5F" w:rsidP="00231C6F">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Do you foresee any barriers or challenges to CMs implementing the proposed disclosures, such as cost, negative effects on risk management, or any potential overlap with traditionally proprietary information?</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91771D" w:rsidRPr="0091771D">
        <w:rPr>
          <w:rFonts w:ascii="Segoe UI" w:hAnsi="Segoe UI" w:cs="Segoe UI"/>
          <w:sz w:val="18"/>
          <w:szCs w:val="18"/>
        </w:rPr>
        <w:t xml:space="preserve">Costs </w:t>
      </w:r>
      <w:r w:rsidR="002E7742">
        <w:rPr>
          <w:rFonts w:ascii="Segoe UI" w:hAnsi="Segoe UI" w:cs="Segoe UI"/>
          <w:sz w:val="18"/>
          <w:szCs w:val="18"/>
        </w:rPr>
        <w:t>are unlikely</w:t>
      </w:r>
      <w:r w:rsidR="0091771D" w:rsidRPr="0091771D">
        <w:rPr>
          <w:rFonts w:ascii="Segoe UI" w:hAnsi="Segoe UI" w:cs="Segoe UI"/>
          <w:sz w:val="18"/>
          <w:szCs w:val="18"/>
        </w:rPr>
        <w:t xml:space="preserve"> </w:t>
      </w:r>
      <w:r w:rsidR="002E7742">
        <w:rPr>
          <w:rFonts w:ascii="Segoe UI" w:hAnsi="Segoe UI" w:cs="Segoe UI"/>
          <w:sz w:val="18"/>
          <w:szCs w:val="18"/>
        </w:rPr>
        <w:t>to</w:t>
      </w:r>
      <w:r w:rsidR="0091771D" w:rsidRPr="0091771D">
        <w:rPr>
          <w:rFonts w:ascii="Segoe UI" w:hAnsi="Segoe UI" w:cs="Segoe UI"/>
          <w:sz w:val="18"/>
          <w:szCs w:val="18"/>
        </w:rPr>
        <w:t xml:space="preserve"> be prohibitive</w:t>
      </w:r>
      <w:r w:rsidR="00EC50C2">
        <w:rPr>
          <w:rFonts w:ascii="Segoe UI" w:hAnsi="Segoe UI" w:cs="Segoe UI"/>
          <w:sz w:val="18"/>
          <w:szCs w:val="18"/>
        </w:rPr>
        <w:t xml:space="preserve">, as </w:t>
      </w:r>
      <w:r w:rsidR="00024CA6">
        <w:rPr>
          <w:rFonts w:ascii="Segoe UI" w:hAnsi="Segoe UI" w:cs="Segoe UI"/>
          <w:sz w:val="18"/>
          <w:szCs w:val="18"/>
        </w:rPr>
        <w:t>CMs</w:t>
      </w:r>
      <w:r w:rsidR="00EC50C2">
        <w:rPr>
          <w:rFonts w:ascii="Segoe UI" w:hAnsi="Segoe UI" w:cs="Segoe UI"/>
          <w:sz w:val="18"/>
          <w:szCs w:val="18"/>
        </w:rPr>
        <w:t xml:space="preserve"> who provide client clearing are sophisticated entities for whom these types of disclosures will not be overly burdensome</w:t>
      </w:r>
      <w:r w:rsidR="0091771D" w:rsidRPr="0091771D">
        <w:rPr>
          <w:rFonts w:ascii="Segoe UI" w:hAnsi="Segoe UI" w:cs="Segoe UI"/>
          <w:sz w:val="18"/>
          <w:szCs w:val="18"/>
        </w:rPr>
        <w:t>. The implementation of the proposed disclosures is expected to have positive effects on risk management. To avoid sharing of any proprietary or confidential information, CMs can share certain disclosures with their clients directly.</w:t>
      </w:r>
      <w:r w:rsidR="00B06CF0" w:rsidRPr="00880D3F">
        <w:rPr>
          <w:rFonts w:ascii="Segoe UI" w:hAnsi="Segoe UI" w:cs="Segoe UI"/>
          <w:b/>
          <w:bCs/>
          <w:sz w:val="18"/>
          <w:szCs w:val="18"/>
        </w:rPr>
        <w:br/>
      </w:r>
    </w:p>
    <w:p w14:paraId="45373F10" w14:textId="5E0AE14A" w:rsidR="00231C6F" w:rsidRPr="00880D3F" w:rsidRDefault="001F1C5F" w:rsidP="00231C6F">
      <w:pPr>
        <w:pStyle w:val="paragraph"/>
        <w:numPr>
          <w:ilvl w:val="0"/>
          <w:numId w:val="23"/>
        </w:numPr>
        <w:textAlignment w:val="baseline"/>
        <w:rPr>
          <w:rFonts w:ascii="Segoe UI" w:hAnsi="Segoe UI" w:cs="Segoe UI"/>
          <w:b/>
          <w:bCs/>
          <w:sz w:val="18"/>
          <w:szCs w:val="18"/>
        </w:rPr>
      </w:pPr>
      <w:r w:rsidRPr="00880D3F">
        <w:rPr>
          <w:rFonts w:ascii="Segoe UI" w:hAnsi="Segoe UI" w:cs="Segoe UI"/>
          <w:b/>
          <w:bCs/>
          <w:sz w:val="18"/>
          <w:szCs w:val="18"/>
        </w:rPr>
        <w:t xml:space="preserve">Please review the list of </w:t>
      </w:r>
      <w:proofErr w:type="gramStart"/>
      <w:r w:rsidRPr="00880D3F">
        <w:rPr>
          <w:rFonts w:ascii="Segoe UI" w:hAnsi="Segoe UI" w:cs="Segoe UI"/>
          <w:b/>
          <w:bCs/>
          <w:sz w:val="18"/>
          <w:szCs w:val="18"/>
        </w:rPr>
        <w:t>example</w:t>
      </w:r>
      <w:proofErr w:type="gramEnd"/>
      <w:r w:rsidRPr="00880D3F">
        <w:rPr>
          <w:rFonts w:ascii="Segoe UI" w:hAnsi="Segoe UI" w:cs="Segoe UI"/>
          <w:b/>
          <w:bCs/>
          <w:sz w:val="18"/>
          <w:szCs w:val="18"/>
        </w:rPr>
        <w:t xml:space="preserve"> CM-to-CCP disclosures provided at the end of Section 4.3.2.</w:t>
      </w:r>
      <w:r w:rsidR="00A754F4" w:rsidRPr="00880D3F">
        <w:rPr>
          <w:rFonts w:ascii="Segoe UI" w:hAnsi="Segoe UI" w:cs="Segoe UI"/>
          <w:b/>
          <w:bCs/>
          <w:sz w:val="18"/>
          <w:szCs w:val="18"/>
        </w:rPr>
        <w:br/>
      </w:r>
    </w:p>
    <w:p w14:paraId="677B0007" w14:textId="59E5316E" w:rsidR="00350CF0" w:rsidRPr="00880D3F" w:rsidRDefault="001F1C5F" w:rsidP="00350CF0">
      <w:pPr>
        <w:pStyle w:val="paragraph"/>
        <w:numPr>
          <w:ilvl w:val="1"/>
          <w:numId w:val="23"/>
        </w:numPr>
        <w:textAlignment w:val="baseline"/>
        <w:rPr>
          <w:rFonts w:ascii="Segoe UI" w:hAnsi="Segoe UI" w:cs="Segoe UI"/>
          <w:sz w:val="18"/>
          <w:szCs w:val="18"/>
        </w:rPr>
      </w:pPr>
      <w:r w:rsidRPr="00880D3F">
        <w:rPr>
          <w:rFonts w:ascii="Segoe UI" w:hAnsi="Segoe UI" w:cs="Segoe UI"/>
          <w:b/>
          <w:bCs/>
          <w:sz w:val="18"/>
          <w:szCs w:val="18"/>
        </w:rPr>
        <w:t>Would the information included in the proposed disclosures aid the CCP’s own risk management processes? If not, is there alternative information which would be useful for CCPs to receive from members?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9A3E5C" w:rsidRPr="00880D3F">
        <w:rPr>
          <w:rFonts w:ascii="Segoe UI" w:hAnsi="Segoe UI" w:cs="Segoe UI"/>
          <w:sz w:val="18"/>
          <w:szCs w:val="18"/>
        </w:rPr>
        <w:t xml:space="preserve">As noted in our initial response to the 2022 </w:t>
      </w:r>
      <w:r w:rsidR="009A3E5C" w:rsidRPr="00880D3F">
        <w:rPr>
          <w:rFonts w:ascii="Segoe UI" w:hAnsi="Segoe UI" w:cs="Segoe UI"/>
          <w:i/>
          <w:iCs/>
          <w:sz w:val="18"/>
          <w:szCs w:val="18"/>
        </w:rPr>
        <w:t>Review of Margining Practices</w:t>
      </w:r>
      <w:r w:rsidR="009A3E5C" w:rsidRPr="00880D3F">
        <w:rPr>
          <w:rFonts w:ascii="Segoe UI" w:hAnsi="Segoe UI" w:cs="Segoe UI"/>
          <w:sz w:val="18"/>
          <w:szCs w:val="18"/>
        </w:rPr>
        <w:t xml:space="preserve">, </w:t>
      </w:r>
      <w:r w:rsidR="00A54A75" w:rsidRPr="00880D3F">
        <w:rPr>
          <w:rFonts w:ascii="Segoe UI" w:hAnsi="Segoe UI" w:cs="Segoe UI"/>
          <w:sz w:val="18"/>
          <w:szCs w:val="18"/>
        </w:rPr>
        <w:t xml:space="preserve">the WFE is supportive of the proposal for CMs to disclose additional metrics to the CCPs </w:t>
      </w:r>
      <w:r w:rsidR="00470E59" w:rsidRPr="00880D3F">
        <w:rPr>
          <w:rFonts w:ascii="Segoe UI" w:hAnsi="Segoe UI" w:cs="Segoe UI"/>
          <w:sz w:val="18"/>
          <w:szCs w:val="18"/>
        </w:rPr>
        <w:t xml:space="preserve">so that CCPs have greater </w:t>
      </w:r>
      <w:r w:rsidR="001D759C" w:rsidRPr="00880D3F">
        <w:rPr>
          <w:rFonts w:ascii="Segoe UI" w:hAnsi="Segoe UI" w:cs="Segoe UI"/>
          <w:sz w:val="18"/>
          <w:szCs w:val="18"/>
        </w:rPr>
        <w:t>visibility of other</w:t>
      </w:r>
      <w:r w:rsidR="00470E59" w:rsidRPr="00880D3F">
        <w:rPr>
          <w:rFonts w:ascii="Segoe UI" w:hAnsi="Segoe UI" w:cs="Segoe UI"/>
          <w:sz w:val="18"/>
          <w:szCs w:val="18"/>
        </w:rPr>
        <w:t xml:space="preserve"> </w:t>
      </w:r>
      <w:r w:rsidR="001937A5" w:rsidRPr="00880D3F">
        <w:rPr>
          <w:rFonts w:ascii="Segoe UI" w:hAnsi="Segoe UI" w:cs="Segoe UI"/>
          <w:sz w:val="18"/>
          <w:szCs w:val="18"/>
        </w:rPr>
        <w:t>positions</w:t>
      </w:r>
      <w:r w:rsidR="00470E59" w:rsidRPr="00880D3F">
        <w:rPr>
          <w:rFonts w:ascii="Segoe UI" w:hAnsi="Segoe UI" w:cs="Segoe UI"/>
          <w:sz w:val="18"/>
          <w:szCs w:val="18"/>
        </w:rPr>
        <w:t xml:space="preserve"> held by the</w:t>
      </w:r>
      <w:r w:rsidR="003910AF" w:rsidRPr="00880D3F">
        <w:rPr>
          <w:rFonts w:ascii="Segoe UI" w:hAnsi="Segoe UI" w:cs="Segoe UI"/>
          <w:sz w:val="18"/>
          <w:szCs w:val="18"/>
        </w:rPr>
        <w:t>ir</w:t>
      </w:r>
      <w:r w:rsidR="00470E59" w:rsidRPr="00880D3F">
        <w:rPr>
          <w:rFonts w:ascii="Segoe UI" w:hAnsi="Segoe UI" w:cs="Segoe UI"/>
          <w:sz w:val="18"/>
          <w:szCs w:val="18"/>
        </w:rPr>
        <w:t xml:space="preserve"> member</w:t>
      </w:r>
      <w:r w:rsidR="00A51615" w:rsidRPr="00880D3F">
        <w:rPr>
          <w:rFonts w:ascii="Segoe UI" w:hAnsi="Segoe UI" w:cs="Segoe UI"/>
          <w:sz w:val="18"/>
          <w:szCs w:val="18"/>
        </w:rPr>
        <w:t>s</w:t>
      </w:r>
      <w:r w:rsidR="00465A22" w:rsidRPr="00880D3F">
        <w:rPr>
          <w:rFonts w:ascii="Segoe UI" w:hAnsi="Segoe UI" w:cs="Segoe UI"/>
          <w:sz w:val="18"/>
          <w:szCs w:val="18"/>
        </w:rPr>
        <w:t>.</w:t>
      </w:r>
      <w:r w:rsidR="003910AF" w:rsidRPr="00880D3F">
        <w:rPr>
          <w:rFonts w:ascii="Segoe UI" w:hAnsi="Segoe UI" w:cs="Segoe UI"/>
          <w:sz w:val="18"/>
          <w:szCs w:val="18"/>
        </w:rPr>
        <w:t xml:space="preserve"> </w:t>
      </w:r>
      <w:r w:rsidR="00FB6F70" w:rsidRPr="00880D3F">
        <w:rPr>
          <w:rFonts w:ascii="Segoe UI" w:hAnsi="Segoe UI" w:cs="Segoe UI"/>
          <w:sz w:val="18"/>
          <w:szCs w:val="18"/>
        </w:rPr>
        <w:t>This would aid CCPs</w:t>
      </w:r>
      <w:r w:rsidR="006B715F" w:rsidRPr="00880D3F">
        <w:rPr>
          <w:rFonts w:ascii="Segoe UI" w:hAnsi="Segoe UI" w:cs="Segoe UI"/>
          <w:sz w:val="18"/>
          <w:szCs w:val="18"/>
        </w:rPr>
        <w:t xml:space="preserve"> in</w:t>
      </w:r>
      <w:r w:rsidR="00FB6F70" w:rsidRPr="00880D3F">
        <w:rPr>
          <w:rFonts w:ascii="Segoe UI" w:hAnsi="Segoe UI" w:cs="Segoe UI"/>
          <w:sz w:val="18"/>
          <w:szCs w:val="18"/>
        </w:rPr>
        <w:t xml:space="preserve"> </w:t>
      </w:r>
      <w:r w:rsidR="00B867C0">
        <w:rPr>
          <w:rFonts w:ascii="Segoe UI" w:hAnsi="Segoe UI" w:cs="Segoe UI"/>
          <w:sz w:val="18"/>
          <w:szCs w:val="18"/>
        </w:rPr>
        <w:t>understanding</w:t>
      </w:r>
      <w:r w:rsidR="00B867C0" w:rsidRPr="00880D3F">
        <w:rPr>
          <w:rFonts w:ascii="Segoe UI" w:hAnsi="Segoe UI" w:cs="Segoe UI"/>
          <w:sz w:val="18"/>
          <w:szCs w:val="18"/>
        </w:rPr>
        <w:t xml:space="preserve"> </w:t>
      </w:r>
      <w:r w:rsidR="00533913" w:rsidRPr="00880D3F">
        <w:rPr>
          <w:rFonts w:ascii="Segoe UI" w:hAnsi="Segoe UI" w:cs="Segoe UI"/>
          <w:sz w:val="18"/>
          <w:szCs w:val="18"/>
        </w:rPr>
        <w:t xml:space="preserve">the </w:t>
      </w:r>
      <w:r w:rsidR="00B867C0">
        <w:rPr>
          <w:rFonts w:ascii="Segoe UI" w:hAnsi="Segoe UI" w:cs="Segoe UI"/>
          <w:sz w:val="18"/>
          <w:szCs w:val="18"/>
        </w:rPr>
        <w:t xml:space="preserve">holistic </w:t>
      </w:r>
      <w:r w:rsidR="00533913" w:rsidRPr="00880D3F">
        <w:rPr>
          <w:rFonts w:ascii="Segoe UI" w:hAnsi="Segoe UI" w:cs="Segoe UI"/>
          <w:sz w:val="18"/>
          <w:szCs w:val="18"/>
        </w:rPr>
        <w:t>risk</w:t>
      </w:r>
      <w:r w:rsidR="00B867C0">
        <w:rPr>
          <w:rFonts w:ascii="Segoe UI" w:hAnsi="Segoe UI" w:cs="Segoe UI"/>
          <w:sz w:val="18"/>
          <w:szCs w:val="18"/>
        </w:rPr>
        <w:t xml:space="preserve">s and resources across the </w:t>
      </w:r>
      <w:r w:rsidR="00A51615" w:rsidRPr="00880D3F">
        <w:rPr>
          <w:rFonts w:ascii="Segoe UI" w:hAnsi="Segoe UI" w:cs="Segoe UI"/>
          <w:sz w:val="18"/>
          <w:szCs w:val="18"/>
        </w:rPr>
        <w:t xml:space="preserve">cleared </w:t>
      </w:r>
      <w:r w:rsidR="00B867C0">
        <w:rPr>
          <w:rFonts w:ascii="Segoe UI" w:hAnsi="Segoe UI" w:cs="Segoe UI"/>
          <w:sz w:val="18"/>
          <w:szCs w:val="18"/>
        </w:rPr>
        <w:t>derivatives markets through a standardized mechanism that can be effectively embedded into a CCP’s already robust counterparty credit risk management practices</w:t>
      </w:r>
      <w:r w:rsidR="003E0790" w:rsidRPr="00880D3F">
        <w:rPr>
          <w:rFonts w:ascii="Segoe UI" w:hAnsi="Segoe UI" w:cs="Segoe UI"/>
          <w:sz w:val="18"/>
          <w:szCs w:val="18"/>
        </w:rPr>
        <w:t>.</w:t>
      </w:r>
      <w:r w:rsidR="00B867C0">
        <w:rPr>
          <w:rFonts w:ascii="Segoe UI" w:hAnsi="Segoe UI" w:cs="Segoe UI"/>
          <w:sz w:val="18"/>
          <w:szCs w:val="18"/>
        </w:rPr>
        <w:t xml:space="preserve"> A standardi</w:t>
      </w:r>
      <w:r w:rsidR="002E7742">
        <w:rPr>
          <w:rFonts w:ascii="Segoe UI" w:hAnsi="Segoe UI" w:cs="Segoe UI"/>
          <w:sz w:val="18"/>
          <w:szCs w:val="18"/>
        </w:rPr>
        <w:t>s</w:t>
      </w:r>
      <w:r w:rsidR="00B867C0">
        <w:rPr>
          <w:rFonts w:ascii="Segoe UI" w:hAnsi="Segoe UI" w:cs="Segoe UI"/>
          <w:sz w:val="18"/>
          <w:szCs w:val="18"/>
        </w:rPr>
        <w:t xml:space="preserve">ed mechanism should also make the process of disclosing this information to CCPs more efficient for </w:t>
      </w:r>
      <w:r w:rsidR="00024CA6">
        <w:rPr>
          <w:rFonts w:ascii="Segoe UI" w:hAnsi="Segoe UI" w:cs="Segoe UI"/>
          <w:sz w:val="18"/>
          <w:szCs w:val="18"/>
        </w:rPr>
        <w:t>CMs</w:t>
      </w:r>
      <w:r w:rsidR="00B867C0">
        <w:rPr>
          <w:rFonts w:ascii="Segoe UI" w:hAnsi="Segoe UI" w:cs="Segoe UI"/>
          <w:sz w:val="18"/>
          <w:szCs w:val="18"/>
        </w:rPr>
        <w:t xml:space="preserve">, </w:t>
      </w:r>
      <w:proofErr w:type="gramStart"/>
      <w:r w:rsidR="00B867C0">
        <w:rPr>
          <w:rFonts w:ascii="Segoe UI" w:hAnsi="Segoe UI" w:cs="Segoe UI"/>
          <w:sz w:val="18"/>
          <w:szCs w:val="18"/>
        </w:rPr>
        <w:t>similar to</w:t>
      </w:r>
      <w:proofErr w:type="gramEnd"/>
      <w:r w:rsidR="00B867C0">
        <w:rPr>
          <w:rFonts w:ascii="Segoe UI" w:hAnsi="Segoe UI" w:cs="Segoe UI"/>
          <w:sz w:val="18"/>
          <w:szCs w:val="18"/>
        </w:rPr>
        <w:t xml:space="preserve"> CCPs’ preparation of the PQDs. </w:t>
      </w:r>
      <w:r w:rsidR="00350CF0" w:rsidRPr="00880D3F">
        <w:rPr>
          <w:rFonts w:ascii="Segoe UI" w:hAnsi="Segoe UI" w:cs="Segoe UI"/>
          <w:sz w:val="18"/>
          <w:szCs w:val="18"/>
        </w:rPr>
        <w:br/>
      </w:r>
      <w:r w:rsidR="00350CF0" w:rsidRPr="00880D3F">
        <w:rPr>
          <w:rFonts w:ascii="Segoe UI" w:hAnsi="Segoe UI" w:cs="Segoe UI"/>
          <w:sz w:val="18"/>
          <w:szCs w:val="18"/>
        </w:rPr>
        <w:br/>
        <w:t>The WFE would encourage the additio</w:t>
      </w:r>
      <w:r w:rsidR="00740445" w:rsidRPr="00880D3F">
        <w:rPr>
          <w:rFonts w:ascii="Segoe UI" w:hAnsi="Segoe UI" w:cs="Segoe UI"/>
          <w:sz w:val="18"/>
          <w:szCs w:val="18"/>
        </w:rPr>
        <w:t>n</w:t>
      </w:r>
      <w:r w:rsidR="00350CF0" w:rsidRPr="00880D3F">
        <w:rPr>
          <w:rFonts w:ascii="Segoe UI" w:hAnsi="Segoe UI" w:cs="Segoe UI"/>
          <w:sz w:val="18"/>
          <w:szCs w:val="18"/>
        </w:rPr>
        <w:t xml:space="preserve"> of the following metrics:</w:t>
      </w:r>
    </w:p>
    <w:p w14:paraId="0E9E0593" w14:textId="77777777" w:rsidR="00957BAB" w:rsidRPr="00880D3F" w:rsidRDefault="00350CF0" w:rsidP="00740445">
      <w:pPr>
        <w:pStyle w:val="paragraph"/>
        <w:numPr>
          <w:ilvl w:val="0"/>
          <w:numId w:val="27"/>
        </w:numPr>
        <w:textAlignment w:val="baseline"/>
        <w:rPr>
          <w:rFonts w:ascii="Segoe UI" w:hAnsi="Segoe UI" w:cs="Segoe UI"/>
          <w:sz w:val="18"/>
          <w:szCs w:val="18"/>
        </w:rPr>
      </w:pPr>
      <w:r w:rsidRPr="00880D3F">
        <w:rPr>
          <w:rFonts w:ascii="Segoe UI" w:hAnsi="Segoe UI" w:cs="Segoe UI"/>
          <w:sz w:val="18"/>
          <w:szCs w:val="18"/>
        </w:rPr>
        <w:t xml:space="preserve">Results of back testing and stress testing – e.g., actual peak and average margin breaches and achieved margin coverage </w:t>
      </w:r>
      <w:proofErr w:type="gramStart"/>
      <w:r w:rsidRPr="00880D3F">
        <w:rPr>
          <w:rFonts w:ascii="Segoe UI" w:hAnsi="Segoe UI" w:cs="Segoe UI"/>
          <w:sz w:val="18"/>
          <w:szCs w:val="18"/>
        </w:rPr>
        <w:t>level</w:t>
      </w:r>
      <w:proofErr w:type="gramEnd"/>
    </w:p>
    <w:p w14:paraId="78EF2F2D" w14:textId="6926BFEE" w:rsidR="00957BAB" w:rsidRPr="00880D3F" w:rsidRDefault="00350CF0" w:rsidP="00740445">
      <w:pPr>
        <w:pStyle w:val="paragraph"/>
        <w:numPr>
          <w:ilvl w:val="0"/>
          <w:numId w:val="27"/>
        </w:numPr>
        <w:textAlignment w:val="baseline"/>
        <w:rPr>
          <w:rFonts w:ascii="Segoe UI" w:hAnsi="Segoe UI" w:cs="Segoe UI"/>
          <w:sz w:val="18"/>
          <w:szCs w:val="18"/>
        </w:rPr>
      </w:pPr>
      <w:r w:rsidRPr="00880D3F">
        <w:rPr>
          <w:rFonts w:ascii="Segoe UI" w:hAnsi="Segoe UI" w:cs="Segoe UI"/>
          <w:sz w:val="18"/>
          <w:szCs w:val="18"/>
        </w:rPr>
        <w:t>Average daily notional for OTC and average daily volume for exchange-traded derivatives</w:t>
      </w:r>
    </w:p>
    <w:p w14:paraId="17177F32" w14:textId="2EAE89F4" w:rsidR="00957BAB" w:rsidRPr="00880D3F" w:rsidRDefault="00350CF0" w:rsidP="00740445">
      <w:pPr>
        <w:pStyle w:val="paragraph"/>
        <w:numPr>
          <w:ilvl w:val="0"/>
          <w:numId w:val="27"/>
        </w:numPr>
        <w:textAlignment w:val="baseline"/>
        <w:rPr>
          <w:rFonts w:ascii="Segoe UI" w:hAnsi="Segoe UI" w:cs="Segoe UI"/>
          <w:sz w:val="18"/>
          <w:szCs w:val="18"/>
        </w:rPr>
      </w:pPr>
      <w:r w:rsidRPr="00880D3F">
        <w:rPr>
          <w:rFonts w:ascii="Segoe UI" w:hAnsi="Segoe UI" w:cs="Segoe UI"/>
          <w:sz w:val="18"/>
          <w:szCs w:val="18"/>
        </w:rPr>
        <w:t>Maximum and average margin calls as a percentage of total liquid assets and percentage of total reserves at central banks</w:t>
      </w:r>
    </w:p>
    <w:p w14:paraId="41BE8948" w14:textId="7C6057DC" w:rsidR="00957BAB" w:rsidRPr="00880D3F" w:rsidRDefault="00350CF0" w:rsidP="00740445">
      <w:pPr>
        <w:pStyle w:val="paragraph"/>
        <w:numPr>
          <w:ilvl w:val="0"/>
          <w:numId w:val="27"/>
        </w:numPr>
        <w:textAlignment w:val="baseline"/>
        <w:rPr>
          <w:rFonts w:ascii="Segoe UI" w:hAnsi="Segoe UI" w:cs="Segoe UI"/>
          <w:sz w:val="18"/>
          <w:szCs w:val="18"/>
        </w:rPr>
      </w:pPr>
      <w:r w:rsidRPr="00880D3F">
        <w:rPr>
          <w:rFonts w:ascii="Segoe UI" w:hAnsi="Segoe UI" w:cs="Segoe UI"/>
          <w:sz w:val="18"/>
          <w:szCs w:val="18"/>
        </w:rPr>
        <w:t>Maximum and average daily security settlement payments (</w:t>
      </w:r>
      <w:proofErr w:type="spellStart"/>
      <w:r w:rsidRPr="00880D3F">
        <w:rPr>
          <w:rFonts w:ascii="Segoe UI" w:hAnsi="Segoe UI" w:cs="Segoe UI"/>
          <w:sz w:val="18"/>
          <w:szCs w:val="18"/>
        </w:rPr>
        <w:t>i.e</w:t>
      </w:r>
      <w:proofErr w:type="spellEnd"/>
      <w:r w:rsidRPr="00880D3F">
        <w:rPr>
          <w:rFonts w:ascii="Segoe UI" w:hAnsi="Segoe UI" w:cs="Segoe UI"/>
          <w:sz w:val="18"/>
          <w:szCs w:val="18"/>
        </w:rPr>
        <w:t xml:space="preserve"> receive versus payment)</w:t>
      </w:r>
    </w:p>
    <w:p w14:paraId="61BDF5BC" w14:textId="0B92EFD1" w:rsidR="00231C6F" w:rsidRPr="00880D3F" w:rsidRDefault="00350CF0" w:rsidP="00740445">
      <w:pPr>
        <w:pStyle w:val="paragraph"/>
        <w:numPr>
          <w:ilvl w:val="0"/>
          <w:numId w:val="27"/>
        </w:numPr>
        <w:textAlignment w:val="baseline"/>
        <w:rPr>
          <w:rFonts w:ascii="Segoe UI" w:hAnsi="Segoe UI" w:cs="Segoe UI"/>
          <w:sz w:val="18"/>
          <w:szCs w:val="18"/>
        </w:rPr>
      </w:pPr>
      <w:r w:rsidRPr="00880D3F">
        <w:rPr>
          <w:rFonts w:ascii="Segoe UI" w:hAnsi="Segoe UI" w:cs="Segoe UI"/>
          <w:sz w:val="18"/>
          <w:szCs w:val="18"/>
        </w:rPr>
        <w:t>Maximum and average daily FX settlement payments (</w:t>
      </w:r>
      <w:proofErr w:type="spellStart"/>
      <w:r w:rsidRPr="00880D3F">
        <w:rPr>
          <w:rFonts w:ascii="Segoe UI" w:hAnsi="Segoe UI" w:cs="Segoe UI"/>
          <w:sz w:val="18"/>
          <w:szCs w:val="18"/>
        </w:rPr>
        <w:t>i.e</w:t>
      </w:r>
      <w:proofErr w:type="spellEnd"/>
      <w:r w:rsidRPr="00880D3F">
        <w:rPr>
          <w:rFonts w:ascii="Segoe UI" w:hAnsi="Segoe UI" w:cs="Segoe UI"/>
          <w:sz w:val="18"/>
          <w:szCs w:val="18"/>
        </w:rPr>
        <w:t xml:space="preserve"> payment versus payment), including Continuous Linked Settlement </w:t>
      </w:r>
      <w:proofErr w:type="gramStart"/>
      <w:r w:rsidRPr="00880D3F">
        <w:rPr>
          <w:rFonts w:ascii="Segoe UI" w:hAnsi="Segoe UI" w:cs="Segoe UI"/>
          <w:sz w:val="18"/>
          <w:szCs w:val="18"/>
        </w:rPr>
        <w:t>activity</w:t>
      </w:r>
      <w:proofErr w:type="gramEnd"/>
    </w:p>
    <w:p w14:paraId="37590E35" w14:textId="19F480AA" w:rsidR="00191C39" w:rsidRPr="00880D3F" w:rsidRDefault="00191C39" w:rsidP="00191C39">
      <w:pPr>
        <w:pStyle w:val="paragraph"/>
        <w:ind w:left="1440"/>
        <w:textAlignment w:val="baseline"/>
        <w:rPr>
          <w:rFonts w:ascii="Segoe UI" w:hAnsi="Segoe UI" w:cs="Segoe UI"/>
          <w:sz w:val="18"/>
          <w:szCs w:val="18"/>
        </w:rPr>
      </w:pPr>
      <w:r w:rsidRPr="00880D3F">
        <w:rPr>
          <w:rFonts w:ascii="Segoe UI" w:hAnsi="Segoe UI" w:cs="Segoe UI"/>
          <w:sz w:val="18"/>
          <w:szCs w:val="18"/>
        </w:rPr>
        <w:lastRenderedPageBreak/>
        <w:t xml:space="preserve">As well as a high-level description of the models used to set </w:t>
      </w:r>
      <w:r w:rsidR="000B581B">
        <w:rPr>
          <w:rFonts w:ascii="Segoe UI" w:hAnsi="Segoe UI" w:cs="Segoe UI"/>
          <w:sz w:val="18"/>
          <w:szCs w:val="18"/>
        </w:rPr>
        <w:t>initial margin</w:t>
      </w:r>
      <w:r w:rsidR="000B581B" w:rsidRPr="00880D3F">
        <w:rPr>
          <w:rFonts w:ascii="Segoe UI" w:hAnsi="Segoe UI" w:cs="Segoe UI"/>
          <w:sz w:val="18"/>
          <w:szCs w:val="18"/>
        </w:rPr>
        <w:t xml:space="preserve"> </w:t>
      </w:r>
      <w:r w:rsidRPr="00880D3F">
        <w:rPr>
          <w:rFonts w:ascii="Segoe UI" w:hAnsi="Segoe UI" w:cs="Segoe UI"/>
          <w:sz w:val="18"/>
          <w:szCs w:val="18"/>
        </w:rPr>
        <w:t>for clients, including:</w:t>
      </w:r>
    </w:p>
    <w:p w14:paraId="06132F84" w14:textId="77777777" w:rsidR="00191C39" w:rsidRPr="00880D3F" w:rsidRDefault="00191C39" w:rsidP="00191C39">
      <w:pPr>
        <w:pStyle w:val="paragraph"/>
        <w:numPr>
          <w:ilvl w:val="0"/>
          <w:numId w:val="28"/>
        </w:numPr>
        <w:textAlignment w:val="baseline"/>
        <w:rPr>
          <w:rFonts w:ascii="Segoe UI" w:hAnsi="Segoe UI" w:cs="Segoe UI"/>
          <w:sz w:val="18"/>
          <w:szCs w:val="18"/>
        </w:rPr>
      </w:pPr>
      <w:r w:rsidRPr="00880D3F">
        <w:rPr>
          <w:rFonts w:ascii="Segoe UI" w:hAnsi="Segoe UI" w:cs="Segoe UI"/>
          <w:sz w:val="18"/>
          <w:szCs w:val="18"/>
        </w:rPr>
        <w:t>Type of model (e.g. value at risk)</w:t>
      </w:r>
    </w:p>
    <w:p w14:paraId="2EA32026" w14:textId="29142D1B" w:rsidR="00191C39" w:rsidRPr="00880D3F" w:rsidRDefault="00191C39" w:rsidP="00191C39">
      <w:pPr>
        <w:pStyle w:val="paragraph"/>
        <w:numPr>
          <w:ilvl w:val="0"/>
          <w:numId w:val="28"/>
        </w:numPr>
        <w:textAlignment w:val="baseline"/>
        <w:rPr>
          <w:rFonts w:ascii="Segoe UI" w:hAnsi="Segoe UI" w:cs="Segoe UI"/>
          <w:sz w:val="18"/>
          <w:szCs w:val="18"/>
        </w:rPr>
      </w:pPr>
      <w:r w:rsidRPr="00880D3F">
        <w:rPr>
          <w:rFonts w:ascii="Segoe UI" w:hAnsi="Segoe UI" w:cs="Segoe UI"/>
          <w:sz w:val="18"/>
          <w:szCs w:val="18"/>
        </w:rPr>
        <w:t>Margin period of risk (e.g. two days, five days, 10 days, etc.)</w:t>
      </w:r>
    </w:p>
    <w:p w14:paraId="43152ABF" w14:textId="4E19DBE2" w:rsidR="00191C39" w:rsidRPr="00880D3F" w:rsidRDefault="00191C39" w:rsidP="00191C39">
      <w:pPr>
        <w:pStyle w:val="paragraph"/>
        <w:numPr>
          <w:ilvl w:val="0"/>
          <w:numId w:val="28"/>
        </w:numPr>
        <w:textAlignment w:val="baseline"/>
        <w:rPr>
          <w:rFonts w:ascii="Segoe UI" w:hAnsi="Segoe UI" w:cs="Segoe UI"/>
          <w:sz w:val="18"/>
          <w:szCs w:val="18"/>
        </w:rPr>
      </w:pPr>
      <w:r w:rsidRPr="00880D3F">
        <w:rPr>
          <w:rFonts w:ascii="Segoe UI" w:hAnsi="Segoe UI" w:cs="Segoe UI"/>
          <w:sz w:val="18"/>
          <w:szCs w:val="18"/>
        </w:rPr>
        <w:t>Lookback period (e.g. two years, 5 years, etc.)</w:t>
      </w:r>
    </w:p>
    <w:p w14:paraId="67FC56D3" w14:textId="77777777" w:rsidR="009206AA" w:rsidRDefault="00191C39" w:rsidP="009206AA">
      <w:pPr>
        <w:pStyle w:val="paragraph"/>
        <w:numPr>
          <w:ilvl w:val="0"/>
          <w:numId w:val="28"/>
        </w:numPr>
        <w:textAlignment w:val="baseline"/>
        <w:rPr>
          <w:rFonts w:ascii="Segoe UI" w:hAnsi="Segoe UI" w:cs="Segoe UI"/>
          <w:sz w:val="18"/>
          <w:szCs w:val="18"/>
        </w:rPr>
      </w:pPr>
      <w:r w:rsidRPr="00880D3F">
        <w:rPr>
          <w:rFonts w:ascii="Segoe UI" w:hAnsi="Segoe UI" w:cs="Segoe UI"/>
          <w:sz w:val="18"/>
          <w:szCs w:val="18"/>
        </w:rPr>
        <w:t>Add-ons (e.g. concentration, liquidity, etc.)</w:t>
      </w:r>
    </w:p>
    <w:p w14:paraId="41A976D0" w14:textId="53810313" w:rsidR="00E200E0" w:rsidRPr="009206AA" w:rsidRDefault="00E200E0" w:rsidP="00A4273A">
      <w:pPr>
        <w:pStyle w:val="paragraph"/>
        <w:ind w:left="1440"/>
        <w:textAlignment w:val="baseline"/>
        <w:rPr>
          <w:rFonts w:ascii="Segoe UI" w:hAnsi="Segoe UI" w:cs="Segoe UI"/>
          <w:sz w:val="18"/>
          <w:szCs w:val="18"/>
        </w:rPr>
      </w:pPr>
      <w:r w:rsidRPr="009206AA">
        <w:rPr>
          <w:rFonts w:ascii="Segoe UI" w:hAnsi="Segoe UI" w:cs="Segoe UI"/>
          <w:sz w:val="18"/>
          <w:szCs w:val="18"/>
        </w:rPr>
        <w:t xml:space="preserve">Additional information regarding the CMs </w:t>
      </w:r>
      <w:r w:rsidR="00024CA6">
        <w:rPr>
          <w:rFonts w:ascii="Segoe UI" w:hAnsi="Segoe UI" w:cs="Segoe UI"/>
          <w:sz w:val="18"/>
          <w:szCs w:val="18"/>
        </w:rPr>
        <w:t>non-centrally cleared</w:t>
      </w:r>
      <w:r w:rsidR="00024CA6" w:rsidRPr="009206AA">
        <w:rPr>
          <w:rFonts w:ascii="Segoe UI" w:hAnsi="Segoe UI" w:cs="Segoe UI"/>
          <w:sz w:val="18"/>
          <w:szCs w:val="18"/>
        </w:rPr>
        <w:t xml:space="preserve"> </w:t>
      </w:r>
      <w:r w:rsidRPr="009206AA">
        <w:rPr>
          <w:rFonts w:ascii="Segoe UI" w:hAnsi="Segoe UI" w:cs="Segoe UI"/>
          <w:sz w:val="18"/>
          <w:szCs w:val="18"/>
        </w:rPr>
        <w:t xml:space="preserve">positions can be helpful for the CCPs to fully understand the risk of their CMs. Overall, the increased transparency and information-sharing between CCPs and CMs will facilitate better risk assessment, monitoring, and mitigation within the </w:t>
      </w:r>
      <w:r w:rsidR="00024CA6">
        <w:rPr>
          <w:rFonts w:ascii="Segoe UI" w:hAnsi="Segoe UI" w:cs="Segoe UI"/>
          <w:sz w:val="18"/>
          <w:szCs w:val="18"/>
        </w:rPr>
        <w:t>financial</w:t>
      </w:r>
      <w:r w:rsidR="00024CA6" w:rsidRPr="009206AA">
        <w:rPr>
          <w:rFonts w:ascii="Segoe UI" w:hAnsi="Segoe UI" w:cs="Segoe UI"/>
          <w:sz w:val="18"/>
          <w:szCs w:val="18"/>
        </w:rPr>
        <w:t xml:space="preserve"> </w:t>
      </w:r>
      <w:r w:rsidRPr="009206AA">
        <w:rPr>
          <w:rFonts w:ascii="Segoe UI" w:hAnsi="Segoe UI" w:cs="Segoe UI"/>
          <w:sz w:val="18"/>
          <w:szCs w:val="18"/>
        </w:rPr>
        <w:t>system, ultimately contributing to the overall stability and resilience.</w:t>
      </w:r>
    </w:p>
    <w:p w14:paraId="079C843C" w14:textId="3F4F5EA1" w:rsidR="00231C6F" w:rsidRPr="00880D3F" w:rsidRDefault="00AA2492" w:rsidP="00231C6F">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Is any of the information included in the proposal description either redundant or duplicative of information already available to the CCP, and thus of minimal value? Does any of the information included in the proposed disclosures differ by institution type?</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617BE9" w:rsidRPr="00617BE9">
        <w:rPr>
          <w:rFonts w:ascii="Segoe UI" w:hAnsi="Segoe UI" w:cs="Segoe UI"/>
          <w:sz w:val="18"/>
          <w:szCs w:val="18"/>
        </w:rPr>
        <w:t>No, we do</w:t>
      </w:r>
      <w:r w:rsidR="00617BE9">
        <w:rPr>
          <w:rFonts w:ascii="Segoe UI" w:hAnsi="Segoe UI" w:cs="Segoe UI"/>
          <w:sz w:val="18"/>
          <w:szCs w:val="18"/>
        </w:rPr>
        <w:t xml:space="preserve"> </w:t>
      </w:r>
      <w:r w:rsidR="00617BE9" w:rsidRPr="00617BE9">
        <w:rPr>
          <w:rFonts w:ascii="Segoe UI" w:hAnsi="Segoe UI" w:cs="Segoe UI"/>
          <w:sz w:val="18"/>
          <w:szCs w:val="18"/>
        </w:rPr>
        <w:t>n</w:t>
      </w:r>
      <w:r w:rsidR="00617BE9">
        <w:rPr>
          <w:rFonts w:ascii="Segoe UI" w:hAnsi="Segoe UI" w:cs="Segoe UI"/>
          <w:sz w:val="18"/>
          <w:szCs w:val="18"/>
        </w:rPr>
        <w:t>o</w:t>
      </w:r>
      <w:r w:rsidR="00617BE9" w:rsidRPr="00617BE9">
        <w:rPr>
          <w:rFonts w:ascii="Segoe UI" w:hAnsi="Segoe UI" w:cs="Segoe UI"/>
          <w:sz w:val="18"/>
          <w:szCs w:val="18"/>
        </w:rPr>
        <w:t xml:space="preserve">t </w:t>
      </w:r>
      <w:r w:rsidR="00617BE9">
        <w:rPr>
          <w:rFonts w:ascii="Segoe UI" w:hAnsi="Segoe UI" w:cs="Segoe UI"/>
          <w:sz w:val="18"/>
          <w:szCs w:val="18"/>
        </w:rPr>
        <w:t>consider</w:t>
      </w:r>
      <w:r w:rsidR="00617BE9" w:rsidRPr="00617BE9">
        <w:rPr>
          <w:rFonts w:ascii="Segoe UI" w:hAnsi="Segoe UI" w:cs="Segoe UI"/>
          <w:sz w:val="18"/>
          <w:szCs w:val="18"/>
        </w:rPr>
        <w:t xml:space="preserve"> the information included in the proposal description </w:t>
      </w:r>
      <w:r w:rsidR="003E233C">
        <w:rPr>
          <w:rFonts w:ascii="Segoe UI" w:hAnsi="Segoe UI" w:cs="Segoe UI"/>
          <w:sz w:val="18"/>
          <w:szCs w:val="18"/>
        </w:rPr>
        <w:t>to be</w:t>
      </w:r>
      <w:r w:rsidR="00617BE9" w:rsidRPr="00617BE9">
        <w:rPr>
          <w:rFonts w:ascii="Segoe UI" w:hAnsi="Segoe UI" w:cs="Segoe UI"/>
          <w:sz w:val="18"/>
          <w:szCs w:val="18"/>
        </w:rPr>
        <w:t xml:space="preserve"> either redundant or duplicative </w:t>
      </w:r>
      <w:r w:rsidR="003E233C">
        <w:rPr>
          <w:rFonts w:ascii="Segoe UI" w:hAnsi="Segoe UI" w:cs="Segoe UI"/>
          <w:sz w:val="18"/>
          <w:szCs w:val="18"/>
        </w:rPr>
        <w:t xml:space="preserve">of </w:t>
      </w:r>
      <w:r w:rsidR="00617BE9" w:rsidRPr="00617BE9">
        <w:rPr>
          <w:rFonts w:ascii="Segoe UI" w:hAnsi="Segoe UI" w:cs="Segoe UI"/>
          <w:sz w:val="18"/>
          <w:szCs w:val="18"/>
        </w:rPr>
        <w:t>information already available to the CCP.</w:t>
      </w:r>
      <w:r w:rsidR="00A754F4" w:rsidRPr="00880D3F">
        <w:rPr>
          <w:rFonts w:ascii="Segoe UI" w:hAnsi="Segoe UI" w:cs="Segoe UI"/>
          <w:b/>
          <w:bCs/>
          <w:sz w:val="18"/>
          <w:szCs w:val="18"/>
        </w:rPr>
        <w:br/>
      </w:r>
    </w:p>
    <w:p w14:paraId="72D3BB59" w14:textId="6280BB85" w:rsidR="00231C6F" w:rsidRPr="00880D3F" w:rsidRDefault="00AA2492" w:rsidP="00231C6F">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Would collection of the information impinge upon current legal disclosure frameworks?</w:t>
      </w:r>
      <w:r w:rsidR="00A754F4" w:rsidRPr="00880D3F">
        <w:rPr>
          <w:rFonts w:ascii="Segoe UI" w:hAnsi="Segoe UI" w:cs="Segoe UI"/>
          <w:b/>
          <w:bCs/>
          <w:sz w:val="18"/>
          <w:szCs w:val="18"/>
        </w:rPr>
        <w:br/>
      </w:r>
      <w:r w:rsidR="00A754F4" w:rsidRPr="00880D3F">
        <w:rPr>
          <w:rFonts w:ascii="Segoe UI" w:hAnsi="Segoe UI" w:cs="Segoe UI"/>
          <w:b/>
          <w:bCs/>
          <w:sz w:val="18"/>
          <w:szCs w:val="18"/>
        </w:rPr>
        <w:br/>
      </w:r>
      <w:r w:rsidR="0019468A" w:rsidRPr="00880D3F">
        <w:rPr>
          <w:rFonts w:ascii="Segoe UI" w:hAnsi="Segoe UI" w:cs="Segoe UI"/>
          <w:sz w:val="18"/>
          <w:szCs w:val="18"/>
        </w:rPr>
        <w:t>No comment.</w:t>
      </w:r>
      <w:r w:rsidR="00A754F4" w:rsidRPr="00880D3F">
        <w:rPr>
          <w:rFonts w:ascii="Segoe UI" w:hAnsi="Segoe UI" w:cs="Segoe UI"/>
          <w:b/>
          <w:bCs/>
          <w:sz w:val="18"/>
          <w:szCs w:val="18"/>
        </w:rPr>
        <w:br/>
      </w:r>
    </w:p>
    <w:p w14:paraId="23A448FE" w14:textId="6AA26398" w:rsidR="00982D94" w:rsidRPr="00880D3F" w:rsidRDefault="00AA2492" w:rsidP="00231C6F">
      <w:pPr>
        <w:pStyle w:val="paragraph"/>
        <w:numPr>
          <w:ilvl w:val="1"/>
          <w:numId w:val="23"/>
        </w:numPr>
        <w:textAlignment w:val="baseline"/>
        <w:rPr>
          <w:rFonts w:ascii="Segoe UI" w:hAnsi="Segoe UI" w:cs="Segoe UI"/>
          <w:b/>
          <w:bCs/>
          <w:sz w:val="18"/>
          <w:szCs w:val="18"/>
        </w:rPr>
      </w:pPr>
      <w:r w:rsidRPr="00880D3F">
        <w:rPr>
          <w:rFonts w:ascii="Segoe UI" w:hAnsi="Segoe UI" w:cs="Segoe UI"/>
          <w:b/>
          <w:bCs/>
          <w:sz w:val="18"/>
          <w:szCs w:val="18"/>
        </w:rPr>
        <w:t>Do any of the example disclosures potentially overlap with traditionally proprietary information?</w:t>
      </w:r>
    </w:p>
    <w:p w14:paraId="3DF14294" w14:textId="6D74A988" w:rsidR="000D44CB" w:rsidRDefault="0019468A" w:rsidP="00EC6083">
      <w:pPr>
        <w:pStyle w:val="paragraph"/>
        <w:ind w:left="720" w:firstLine="720"/>
        <w:jc w:val="both"/>
        <w:textAlignment w:val="baseline"/>
        <w:rPr>
          <w:rFonts w:ascii="Segoe UI" w:hAnsi="Segoe UI" w:cs="Segoe UI"/>
          <w:sz w:val="18"/>
          <w:szCs w:val="18"/>
        </w:rPr>
      </w:pPr>
      <w:r w:rsidRPr="00880D3F">
        <w:rPr>
          <w:rFonts w:ascii="Segoe UI" w:hAnsi="Segoe UI" w:cs="Segoe UI"/>
          <w:sz w:val="18"/>
          <w:szCs w:val="18"/>
        </w:rPr>
        <w:t>No comment.</w:t>
      </w:r>
    </w:p>
    <w:sectPr w:rsidR="000D44CB" w:rsidSect="00352F60">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273A5" w14:textId="77777777" w:rsidR="00352F60" w:rsidRDefault="00352F60" w:rsidP="007F1FB5">
      <w:r>
        <w:separator/>
      </w:r>
    </w:p>
  </w:endnote>
  <w:endnote w:type="continuationSeparator" w:id="0">
    <w:p w14:paraId="0082720B" w14:textId="77777777" w:rsidR="00352F60" w:rsidRDefault="00352F60" w:rsidP="007F1FB5">
      <w:r>
        <w:continuationSeparator/>
      </w:r>
    </w:p>
  </w:endnote>
  <w:endnote w:type="continuationNotice" w:id="1">
    <w:p w14:paraId="5254B3D0" w14:textId="77777777" w:rsidR="00352F60" w:rsidRDefault="00352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4D4FA" w14:textId="77777777" w:rsidR="00352F60" w:rsidRDefault="00352F60" w:rsidP="007F1FB5">
      <w:r>
        <w:separator/>
      </w:r>
    </w:p>
  </w:footnote>
  <w:footnote w:type="continuationSeparator" w:id="0">
    <w:p w14:paraId="6EBA086B" w14:textId="77777777" w:rsidR="00352F60" w:rsidRDefault="00352F60" w:rsidP="007F1FB5">
      <w:r>
        <w:continuationSeparator/>
      </w:r>
    </w:p>
  </w:footnote>
  <w:footnote w:type="continuationNotice" w:id="1">
    <w:p w14:paraId="00C27C12" w14:textId="77777777" w:rsidR="00352F60" w:rsidRDefault="00352F60"/>
  </w:footnote>
  <w:footnote w:id="2">
    <w:p w14:paraId="65B20655" w14:textId="66F68D56" w:rsidR="00F6206B" w:rsidRDefault="00F6206B">
      <w:pPr>
        <w:pStyle w:val="FootnoteText"/>
      </w:pPr>
      <w:r>
        <w:rPr>
          <w:rStyle w:val="FootnoteReference"/>
        </w:rPr>
        <w:footnoteRef/>
      </w:r>
      <w:r>
        <w:t xml:space="preserve"> </w:t>
      </w:r>
      <w:r w:rsidR="003820CB">
        <w:rPr>
          <w:sz w:val="16"/>
          <w:szCs w:val="16"/>
        </w:rPr>
        <w:t xml:space="preserve"> </w:t>
      </w:r>
      <w:r w:rsidR="00275D90" w:rsidRPr="00E87C35">
        <w:rPr>
          <w:i/>
          <w:iCs/>
          <w:sz w:val="16"/>
          <w:szCs w:val="16"/>
        </w:rPr>
        <w:t>Review of Margining Practices</w:t>
      </w:r>
      <w:r w:rsidR="006740C4">
        <w:rPr>
          <w:sz w:val="16"/>
          <w:szCs w:val="16"/>
        </w:rPr>
        <w:t xml:space="preserve">, BCBS-CPMI-IOSCO, </w:t>
      </w:r>
      <w:proofErr w:type="gramStart"/>
      <w:r w:rsidR="00E87C35">
        <w:rPr>
          <w:sz w:val="16"/>
          <w:szCs w:val="16"/>
        </w:rPr>
        <w:t>September,</w:t>
      </w:r>
      <w:proofErr w:type="gramEnd"/>
      <w:r w:rsidR="00E87C35">
        <w:rPr>
          <w:sz w:val="16"/>
          <w:szCs w:val="16"/>
        </w:rPr>
        <w:t xml:space="preserve"> 2022.</w:t>
      </w:r>
      <w:r w:rsidR="00275D90" w:rsidRPr="00275D90">
        <w:rPr>
          <w:sz w:val="16"/>
          <w:szCs w:val="16"/>
        </w:rPr>
        <w:t xml:space="preserve"> </w:t>
      </w:r>
      <w:r w:rsidR="00275D90">
        <w:rPr>
          <w:sz w:val="16"/>
          <w:szCs w:val="16"/>
        </w:rPr>
        <w:t>The r</w:t>
      </w:r>
      <w:r>
        <w:rPr>
          <w:sz w:val="16"/>
          <w:szCs w:val="16"/>
        </w:rPr>
        <w:t>eview</w:t>
      </w:r>
      <w:r w:rsidRPr="00F6206B">
        <w:rPr>
          <w:sz w:val="16"/>
          <w:szCs w:val="16"/>
        </w:rPr>
        <w:t xml:space="preserve"> outlined that initial margin (IM) models appropriately addressed the prevailing market conditions during March 2020 and were sufficiently anti-procyclical. </w:t>
      </w:r>
      <w:r w:rsidR="000B581B">
        <w:rPr>
          <w:sz w:val="16"/>
          <w:szCs w:val="16"/>
        </w:rPr>
        <w:t>Initial margin</w:t>
      </w:r>
      <w:r w:rsidR="000B581B" w:rsidRPr="00F6206B">
        <w:rPr>
          <w:sz w:val="16"/>
          <w:szCs w:val="16"/>
        </w:rPr>
        <w:t xml:space="preserve"> </w:t>
      </w:r>
      <w:r w:rsidRPr="00F6206B">
        <w:rPr>
          <w:sz w:val="16"/>
          <w:szCs w:val="16"/>
        </w:rPr>
        <w:t>required by CCPs increased by approximately 40%, compared to the 400% increase in the VIX volatility index, and that even at their peak total (</w:t>
      </w:r>
      <w:proofErr w:type="spellStart"/>
      <w:r w:rsidRPr="00F6206B">
        <w:rPr>
          <w:sz w:val="16"/>
          <w:szCs w:val="16"/>
        </w:rPr>
        <w:t>ie</w:t>
      </w:r>
      <w:proofErr w:type="spellEnd"/>
      <w:r w:rsidRPr="00F6206B">
        <w:rPr>
          <w:sz w:val="16"/>
          <w:szCs w:val="16"/>
        </w:rPr>
        <w:t xml:space="preserve"> VM and IM), margin calls in the centrally and non-centrally cleared space accounted for 2.5% or less of the overall liquidity resources and an average of 5% or less of the central bank reserves held by larger intermediaries. These ratios demonstrate that margin calls had a very small impact on liquidity, were not procyclical, and did not have a destabilising effect on market stakeholders. </w:t>
      </w:r>
    </w:p>
  </w:footnote>
  <w:footnote w:id="3">
    <w:p w14:paraId="21393952" w14:textId="79E1B2F1" w:rsidR="00E87C35" w:rsidRDefault="00E87C35">
      <w:pPr>
        <w:pStyle w:val="FootnoteText"/>
      </w:pPr>
      <w:r>
        <w:rPr>
          <w:rStyle w:val="FootnoteReference"/>
        </w:rPr>
        <w:footnoteRef/>
      </w:r>
      <w:r>
        <w:t xml:space="preserve"> </w:t>
      </w:r>
      <w:r w:rsidRPr="00E87C35">
        <w:rPr>
          <w:i/>
          <w:iCs/>
          <w:sz w:val="16"/>
          <w:szCs w:val="16"/>
        </w:rPr>
        <w:t>Review of Margining Practices</w:t>
      </w:r>
      <w:r>
        <w:rPr>
          <w:sz w:val="16"/>
          <w:szCs w:val="16"/>
        </w:rPr>
        <w:t xml:space="preserve">, BCBS-CPMI-IOSCO, </w:t>
      </w:r>
      <w:proofErr w:type="gramStart"/>
      <w:r>
        <w:rPr>
          <w:sz w:val="16"/>
          <w:szCs w:val="16"/>
        </w:rPr>
        <w:t>September,</w:t>
      </w:r>
      <w:proofErr w:type="gramEnd"/>
      <w:r>
        <w:rPr>
          <w:sz w:val="16"/>
          <w:szCs w:val="16"/>
        </w:rPr>
        <w:t xml:space="preserve"> 2022. Highlighted client responses are outlined on page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77E"/>
    <w:multiLevelType w:val="hybridMultilevel"/>
    <w:tmpl w:val="C5A0FE10"/>
    <w:lvl w:ilvl="0" w:tplc="0809000F">
      <w:start w:val="1"/>
      <w:numFmt w:val="decimal"/>
      <w:lvlText w:val="%1."/>
      <w:lvlJc w:val="left"/>
      <w:pPr>
        <w:ind w:left="720" w:hanging="360"/>
      </w:pPr>
    </w:lvl>
    <w:lvl w:ilvl="1" w:tplc="38DC9F72">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63909"/>
    <w:multiLevelType w:val="hybridMultilevel"/>
    <w:tmpl w:val="8EE8D59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6" w15:restartNumberingAfterBreak="0">
    <w:nsid w:val="25363538"/>
    <w:multiLevelType w:val="hybridMultilevel"/>
    <w:tmpl w:val="CBFE7A4C"/>
    <w:lvl w:ilvl="0" w:tplc="8C6454AE">
      <w:start w:val="4"/>
      <w:numFmt w:val="upp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92901"/>
    <w:multiLevelType w:val="hybridMultilevel"/>
    <w:tmpl w:val="81BECBB2"/>
    <w:lvl w:ilvl="0" w:tplc="08090013">
      <w:start w:val="1"/>
      <w:numFmt w:val="upp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17B04"/>
    <w:multiLevelType w:val="hybridMultilevel"/>
    <w:tmpl w:val="3806C1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73901"/>
    <w:multiLevelType w:val="hybridMultilevel"/>
    <w:tmpl w:val="E77C05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7"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9376B"/>
    <w:multiLevelType w:val="hybridMultilevel"/>
    <w:tmpl w:val="7E726C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A3D57"/>
    <w:multiLevelType w:val="hybridMultilevel"/>
    <w:tmpl w:val="D18A5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6"/>
  </w:num>
  <w:num w:numId="2" w16cid:durableId="1192763003">
    <w:abstractNumId w:val="24"/>
  </w:num>
  <w:num w:numId="3" w16cid:durableId="310867625">
    <w:abstractNumId w:val="4"/>
  </w:num>
  <w:num w:numId="4" w16cid:durableId="2116092397">
    <w:abstractNumId w:val="27"/>
  </w:num>
  <w:num w:numId="5" w16cid:durableId="708140500">
    <w:abstractNumId w:val="10"/>
  </w:num>
  <w:num w:numId="6" w16cid:durableId="1568034578">
    <w:abstractNumId w:val="20"/>
  </w:num>
  <w:num w:numId="7" w16cid:durableId="420639351">
    <w:abstractNumId w:val="21"/>
  </w:num>
  <w:num w:numId="8" w16cid:durableId="1965959801">
    <w:abstractNumId w:val="13"/>
  </w:num>
  <w:num w:numId="9" w16cid:durableId="1388839081">
    <w:abstractNumId w:val="1"/>
  </w:num>
  <w:num w:numId="10" w16cid:durableId="1978413268">
    <w:abstractNumId w:val="13"/>
  </w:num>
  <w:num w:numId="11" w16cid:durableId="650670521">
    <w:abstractNumId w:val="19"/>
  </w:num>
  <w:num w:numId="12" w16cid:durableId="1174804187">
    <w:abstractNumId w:val="12"/>
  </w:num>
  <w:num w:numId="13" w16cid:durableId="273875375">
    <w:abstractNumId w:val="8"/>
  </w:num>
  <w:num w:numId="14" w16cid:durableId="26686446">
    <w:abstractNumId w:val="2"/>
  </w:num>
  <w:num w:numId="15" w16cid:durableId="1554538882">
    <w:abstractNumId w:val="17"/>
  </w:num>
  <w:num w:numId="16" w16cid:durableId="569312055">
    <w:abstractNumId w:val="28"/>
  </w:num>
  <w:num w:numId="17" w16cid:durableId="726033292">
    <w:abstractNumId w:val="22"/>
  </w:num>
  <w:num w:numId="18" w16cid:durableId="1800562926">
    <w:abstractNumId w:val="25"/>
  </w:num>
  <w:num w:numId="19" w16cid:durableId="632562955">
    <w:abstractNumId w:val="11"/>
  </w:num>
  <w:num w:numId="20" w16cid:durableId="1335304813">
    <w:abstractNumId w:val="14"/>
  </w:num>
  <w:num w:numId="21" w16cid:durableId="1576088857">
    <w:abstractNumId w:val="26"/>
  </w:num>
  <w:num w:numId="22" w16cid:durableId="1085952666">
    <w:abstractNumId w:val="3"/>
  </w:num>
  <w:num w:numId="23" w16cid:durableId="167454298">
    <w:abstractNumId w:val="0"/>
  </w:num>
  <w:num w:numId="24" w16cid:durableId="2030181343">
    <w:abstractNumId w:val="23"/>
  </w:num>
  <w:num w:numId="25" w16cid:durableId="1004555076">
    <w:abstractNumId w:val="9"/>
  </w:num>
  <w:num w:numId="26" w16cid:durableId="822086630">
    <w:abstractNumId w:val="5"/>
  </w:num>
  <w:num w:numId="27" w16cid:durableId="1648314591">
    <w:abstractNumId w:val="18"/>
  </w:num>
  <w:num w:numId="28" w16cid:durableId="942494073">
    <w:abstractNumId w:val="15"/>
  </w:num>
  <w:num w:numId="29" w16cid:durableId="975455287">
    <w:abstractNumId w:val="7"/>
  </w:num>
  <w:num w:numId="30" w16cid:durableId="28542989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5CC"/>
    <w:rsid w:val="00000750"/>
    <w:rsid w:val="000008C9"/>
    <w:rsid w:val="00000C32"/>
    <w:rsid w:val="00000E9A"/>
    <w:rsid w:val="00001048"/>
    <w:rsid w:val="000012AD"/>
    <w:rsid w:val="00001D7F"/>
    <w:rsid w:val="00001FC9"/>
    <w:rsid w:val="000020B5"/>
    <w:rsid w:val="00002B0E"/>
    <w:rsid w:val="00002C0D"/>
    <w:rsid w:val="000043D9"/>
    <w:rsid w:val="000046EC"/>
    <w:rsid w:val="00005208"/>
    <w:rsid w:val="0000608F"/>
    <w:rsid w:val="00006271"/>
    <w:rsid w:val="00006A11"/>
    <w:rsid w:val="00007B4B"/>
    <w:rsid w:val="00007CA3"/>
    <w:rsid w:val="00007CB3"/>
    <w:rsid w:val="00007FE1"/>
    <w:rsid w:val="000100A7"/>
    <w:rsid w:val="00010209"/>
    <w:rsid w:val="00010470"/>
    <w:rsid w:val="00010B43"/>
    <w:rsid w:val="00010CCC"/>
    <w:rsid w:val="00010D5D"/>
    <w:rsid w:val="00011061"/>
    <w:rsid w:val="00011F9F"/>
    <w:rsid w:val="000120EC"/>
    <w:rsid w:val="00012139"/>
    <w:rsid w:val="0001373B"/>
    <w:rsid w:val="000141AE"/>
    <w:rsid w:val="00014664"/>
    <w:rsid w:val="00014A39"/>
    <w:rsid w:val="00014D2D"/>
    <w:rsid w:val="000152A0"/>
    <w:rsid w:val="00015721"/>
    <w:rsid w:val="00015B9E"/>
    <w:rsid w:val="00015C2E"/>
    <w:rsid w:val="0001663F"/>
    <w:rsid w:val="00016707"/>
    <w:rsid w:val="00017BFD"/>
    <w:rsid w:val="0002094D"/>
    <w:rsid w:val="00020997"/>
    <w:rsid w:val="00020DBA"/>
    <w:rsid w:val="000212E2"/>
    <w:rsid w:val="00021A8A"/>
    <w:rsid w:val="00022311"/>
    <w:rsid w:val="00023557"/>
    <w:rsid w:val="0002373E"/>
    <w:rsid w:val="000239D8"/>
    <w:rsid w:val="00024003"/>
    <w:rsid w:val="00024CA6"/>
    <w:rsid w:val="000258DD"/>
    <w:rsid w:val="0002675D"/>
    <w:rsid w:val="000267D4"/>
    <w:rsid w:val="00027301"/>
    <w:rsid w:val="0002752E"/>
    <w:rsid w:val="000306AF"/>
    <w:rsid w:val="00030841"/>
    <w:rsid w:val="00031333"/>
    <w:rsid w:val="00032981"/>
    <w:rsid w:val="000331B7"/>
    <w:rsid w:val="000333E7"/>
    <w:rsid w:val="00033BAA"/>
    <w:rsid w:val="00033BD9"/>
    <w:rsid w:val="00033C80"/>
    <w:rsid w:val="00033DAE"/>
    <w:rsid w:val="000341AD"/>
    <w:rsid w:val="000348E8"/>
    <w:rsid w:val="00034C9E"/>
    <w:rsid w:val="0003520C"/>
    <w:rsid w:val="0003557E"/>
    <w:rsid w:val="000360C0"/>
    <w:rsid w:val="00036674"/>
    <w:rsid w:val="00036682"/>
    <w:rsid w:val="0003689D"/>
    <w:rsid w:val="0003733C"/>
    <w:rsid w:val="00037341"/>
    <w:rsid w:val="00037496"/>
    <w:rsid w:val="00037718"/>
    <w:rsid w:val="000406A6"/>
    <w:rsid w:val="00040725"/>
    <w:rsid w:val="00041123"/>
    <w:rsid w:val="0004119B"/>
    <w:rsid w:val="00041299"/>
    <w:rsid w:val="00041766"/>
    <w:rsid w:val="000419BD"/>
    <w:rsid w:val="00041E23"/>
    <w:rsid w:val="00042038"/>
    <w:rsid w:val="00042471"/>
    <w:rsid w:val="00042AE3"/>
    <w:rsid w:val="00042BE4"/>
    <w:rsid w:val="00043B80"/>
    <w:rsid w:val="00044AFC"/>
    <w:rsid w:val="00044EE5"/>
    <w:rsid w:val="00045671"/>
    <w:rsid w:val="00045D8C"/>
    <w:rsid w:val="00046B08"/>
    <w:rsid w:val="00046BEA"/>
    <w:rsid w:val="00047504"/>
    <w:rsid w:val="00047F8B"/>
    <w:rsid w:val="00050AD6"/>
    <w:rsid w:val="00050FBD"/>
    <w:rsid w:val="00051FFD"/>
    <w:rsid w:val="00052DCC"/>
    <w:rsid w:val="00053055"/>
    <w:rsid w:val="0005358F"/>
    <w:rsid w:val="0005366F"/>
    <w:rsid w:val="00054692"/>
    <w:rsid w:val="00054A3C"/>
    <w:rsid w:val="0005525D"/>
    <w:rsid w:val="000552B1"/>
    <w:rsid w:val="000562CB"/>
    <w:rsid w:val="00057A50"/>
    <w:rsid w:val="00057AA4"/>
    <w:rsid w:val="000605AD"/>
    <w:rsid w:val="00061DBF"/>
    <w:rsid w:val="00062391"/>
    <w:rsid w:val="00062A31"/>
    <w:rsid w:val="00064824"/>
    <w:rsid w:val="00064A61"/>
    <w:rsid w:val="00064C45"/>
    <w:rsid w:val="000656C3"/>
    <w:rsid w:val="00065A36"/>
    <w:rsid w:val="00065C43"/>
    <w:rsid w:val="00065E9D"/>
    <w:rsid w:val="00066549"/>
    <w:rsid w:val="00066B3B"/>
    <w:rsid w:val="00067701"/>
    <w:rsid w:val="000701B8"/>
    <w:rsid w:val="0007075B"/>
    <w:rsid w:val="0007156A"/>
    <w:rsid w:val="00072D3E"/>
    <w:rsid w:val="00072D72"/>
    <w:rsid w:val="00073244"/>
    <w:rsid w:val="00073BBA"/>
    <w:rsid w:val="0007468A"/>
    <w:rsid w:val="00074708"/>
    <w:rsid w:val="00074B95"/>
    <w:rsid w:val="00075281"/>
    <w:rsid w:val="00075602"/>
    <w:rsid w:val="0007561E"/>
    <w:rsid w:val="0007607E"/>
    <w:rsid w:val="00076455"/>
    <w:rsid w:val="000776E5"/>
    <w:rsid w:val="00077909"/>
    <w:rsid w:val="00077EAE"/>
    <w:rsid w:val="00080354"/>
    <w:rsid w:val="0008104F"/>
    <w:rsid w:val="00081446"/>
    <w:rsid w:val="00082D84"/>
    <w:rsid w:val="000836B6"/>
    <w:rsid w:val="000837C4"/>
    <w:rsid w:val="00083BE1"/>
    <w:rsid w:val="000851A4"/>
    <w:rsid w:val="0008522A"/>
    <w:rsid w:val="000855E0"/>
    <w:rsid w:val="000856A7"/>
    <w:rsid w:val="00086503"/>
    <w:rsid w:val="00086CAF"/>
    <w:rsid w:val="00086E21"/>
    <w:rsid w:val="00087124"/>
    <w:rsid w:val="00087495"/>
    <w:rsid w:val="00087A14"/>
    <w:rsid w:val="000905CF"/>
    <w:rsid w:val="00091BD6"/>
    <w:rsid w:val="00091E6E"/>
    <w:rsid w:val="00092801"/>
    <w:rsid w:val="00092C55"/>
    <w:rsid w:val="000930EB"/>
    <w:rsid w:val="000936CF"/>
    <w:rsid w:val="000939A8"/>
    <w:rsid w:val="00093DC0"/>
    <w:rsid w:val="0009493E"/>
    <w:rsid w:val="00094A72"/>
    <w:rsid w:val="0009523E"/>
    <w:rsid w:val="00095C87"/>
    <w:rsid w:val="000961E0"/>
    <w:rsid w:val="0009670F"/>
    <w:rsid w:val="000979CC"/>
    <w:rsid w:val="000A09DC"/>
    <w:rsid w:val="000A1057"/>
    <w:rsid w:val="000A1E3E"/>
    <w:rsid w:val="000A23C6"/>
    <w:rsid w:val="000A294C"/>
    <w:rsid w:val="000A2D3D"/>
    <w:rsid w:val="000A2E58"/>
    <w:rsid w:val="000A35B7"/>
    <w:rsid w:val="000A3C92"/>
    <w:rsid w:val="000A4277"/>
    <w:rsid w:val="000A45E6"/>
    <w:rsid w:val="000A4B54"/>
    <w:rsid w:val="000A4FCC"/>
    <w:rsid w:val="000A579C"/>
    <w:rsid w:val="000A5ADB"/>
    <w:rsid w:val="000A5D2E"/>
    <w:rsid w:val="000A6221"/>
    <w:rsid w:val="000A6532"/>
    <w:rsid w:val="000A6E23"/>
    <w:rsid w:val="000A6E64"/>
    <w:rsid w:val="000A7173"/>
    <w:rsid w:val="000B0073"/>
    <w:rsid w:val="000B0A3D"/>
    <w:rsid w:val="000B0DBD"/>
    <w:rsid w:val="000B0F10"/>
    <w:rsid w:val="000B185C"/>
    <w:rsid w:val="000B256C"/>
    <w:rsid w:val="000B2898"/>
    <w:rsid w:val="000B2DEB"/>
    <w:rsid w:val="000B309D"/>
    <w:rsid w:val="000B30ED"/>
    <w:rsid w:val="000B327B"/>
    <w:rsid w:val="000B3FB0"/>
    <w:rsid w:val="000B4409"/>
    <w:rsid w:val="000B49C8"/>
    <w:rsid w:val="000B4A48"/>
    <w:rsid w:val="000B581B"/>
    <w:rsid w:val="000B5EE8"/>
    <w:rsid w:val="000B6DAC"/>
    <w:rsid w:val="000B7570"/>
    <w:rsid w:val="000C01B5"/>
    <w:rsid w:val="000C0B4A"/>
    <w:rsid w:val="000C2D8A"/>
    <w:rsid w:val="000C3125"/>
    <w:rsid w:val="000C34C1"/>
    <w:rsid w:val="000C3708"/>
    <w:rsid w:val="000C393C"/>
    <w:rsid w:val="000C3C31"/>
    <w:rsid w:val="000C4162"/>
    <w:rsid w:val="000C4851"/>
    <w:rsid w:val="000C4BF3"/>
    <w:rsid w:val="000C4DAB"/>
    <w:rsid w:val="000C574B"/>
    <w:rsid w:val="000C5F55"/>
    <w:rsid w:val="000C6481"/>
    <w:rsid w:val="000C678A"/>
    <w:rsid w:val="000C67AC"/>
    <w:rsid w:val="000C765D"/>
    <w:rsid w:val="000C7757"/>
    <w:rsid w:val="000C7CC5"/>
    <w:rsid w:val="000C7CCC"/>
    <w:rsid w:val="000D01F1"/>
    <w:rsid w:val="000D0433"/>
    <w:rsid w:val="000D060B"/>
    <w:rsid w:val="000D1091"/>
    <w:rsid w:val="000D1CF9"/>
    <w:rsid w:val="000D2592"/>
    <w:rsid w:val="000D31F1"/>
    <w:rsid w:val="000D3318"/>
    <w:rsid w:val="000D3AEB"/>
    <w:rsid w:val="000D3BA8"/>
    <w:rsid w:val="000D3CC2"/>
    <w:rsid w:val="000D3D47"/>
    <w:rsid w:val="000D3EED"/>
    <w:rsid w:val="000D447A"/>
    <w:rsid w:val="000D44CB"/>
    <w:rsid w:val="000D494F"/>
    <w:rsid w:val="000D5A1D"/>
    <w:rsid w:val="000D5E2E"/>
    <w:rsid w:val="000D5E9E"/>
    <w:rsid w:val="000D604D"/>
    <w:rsid w:val="000D67F5"/>
    <w:rsid w:val="000D68EC"/>
    <w:rsid w:val="000D69B1"/>
    <w:rsid w:val="000D74D9"/>
    <w:rsid w:val="000D7DF2"/>
    <w:rsid w:val="000E09B2"/>
    <w:rsid w:val="000E13FF"/>
    <w:rsid w:val="000E1681"/>
    <w:rsid w:val="000E1CF1"/>
    <w:rsid w:val="000E2351"/>
    <w:rsid w:val="000E2475"/>
    <w:rsid w:val="000E2614"/>
    <w:rsid w:val="000E2771"/>
    <w:rsid w:val="000E46AC"/>
    <w:rsid w:val="000E511D"/>
    <w:rsid w:val="000E5122"/>
    <w:rsid w:val="000E5CFB"/>
    <w:rsid w:val="000E5D8C"/>
    <w:rsid w:val="000E6E70"/>
    <w:rsid w:val="000F0278"/>
    <w:rsid w:val="000F1686"/>
    <w:rsid w:val="000F17D6"/>
    <w:rsid w:val="000F1F61"/>
    <w:rsid w:val="000F31A3"/>
    <w:rsid w:val="000F4266"/>
    <w:rsid w:val="000F469F"/>
    <w:rsid w:val="000F486B"/>
    <w:rsid w:val="000F68B4"/>
    <w:rsid w:val="000F6C93"/>
    <w:rsid w:val="000F7971"/>
    <w:rsid w:val="000F7BAB"/>
    <w:rsid w:val="000F7F54"/>
    <w:rsid w:val="00100C09"/>
    <w:rsid w:val="00100E1B"/>
    <w:rsid w:val="00102AF1"/>
    <w:rsid w:val="0010334E"/>
    <w:rsid w:val="00104632"/>
    <w:rsid w:val="00104B16"/>
    <w:rsid w:val="0010590F"/>
    <w:rsid w:val="00105F48"/>
    <w:rsid w:val="00106B27"/>
    <w:rsid w:val="001070DE"/>
    <w:rsid w:val="00107368"/>
    <w:rsid w:val="0011014D"/>
    <w:rsid w:val="00110701"/>
    <w:rsid w:val="001108F5"/>
    <w:rsid w:val="00110BD2"/>
    <w:rsid w:val="00110F04"/>
    <w:rsid w:val="001114A6"/>
    <w:rsid w:val="00111EAE"/>
    <w:rsid w:val="00112203"/>
    <w:rsid w:val="001138AC"/>
    <w:rsid w:val="001141EB"/>
    <w:rsid w:val="00114A10"/>
    <w:rsid w:val="00115638"/>
    <w:rsid w:val="00115F4E"/>
    <w:rsid w:val="001163CE"/>
    <w:rsid w:val="001168DF"/>
    <w:rsid w:val="001169FF"/>
    <w:rsid w:val="00116CC6"/>
    <w:rsid w:val="00117285"/>
    <w:rsid w:val="00117FD0"/>
    <w:rsid w:val="0012032E"/>
    <w:rsid w:val="00120A1F"/>
    <w:rsid w:val="00120D67"/>
    <w:rsid w:val="00120E4F"/>
    <w:rsid w:val="00122777"/>
    <w:rsid w:val="0012284B"/>
    <w:rsid w:val="00123192"/>
    <w:rsid w:val="00123606"/>
    <w:rsid w:val="001236C8"/>
    <w:rsid w:val="001238D7"/>
    <w:rsid w:val="00124980"/>
    <w:rsid w:val="001251D1"/>
    <w:rsid w:val="00125723"/>
    <w:rsid w:val="001264F4"/>
    <w:rsid w:val="001265B9"/>
    <w:rsid w:val="00126B0F"/>
    <w:rsid w:val="001272E4"/>
    <w:rsid w:val="00127D17"/>
    <w:rsid w:val="0013088A"/>
    <w:rsid w:val="00130ACE"/>
    <w:rsid w:val="0013105E"/>
    <w:rsid w:val="001321FF"/>
    <w:rsid w:val="00132900"/>
    <w:rsid w:val="0013291F"/>
    <w:rsid w:val="00132A66"/>
    <w:rsid w:val="00133CC0"/>
    <w:rsid w:val="00133D82"/>
    <w:rsid w:val="0013436A"/>
    <w:rsid w:val="001346F3"/>
    <w:rsid w:val="00135FB4"/>
    <w:rsid w:val="001361FF"/>
    <w:rsid w:val="0013654B"/>
    <w:rsid w:val="00136997"/>
    <w:rsid w:val="0014080F"/>
    <w:rsid w:val="00140965"/>
    <w:rsid w:val="001411F7"/>
    <w:rsid w:val="00141FA8"/>
    <w:rsid w:val="00143122"/>
    <w:rsid w:val="001447BD"/>
    <w:rsid w:val="00144960"/>
    <w:rsid w:val="00144F49"/>
    <w:rsid w:val="00144F87"/>
    <w:rsid w:val="00145A1E"/>
    <w:rsid w:val="00146877"/>
    <w:rsid w:val="00146CA6"/>
    <w:rsid w:val="001477D7"/>
    <w:rsid w:val="00147A6B"/>
    <w:rsid w:val="00147C8F"/>
    <w:rsid w:val="00150183"/>
    <w:rsid w:val="001507C1"/>
    <w:rsid w:val="00150AA5"/>
    <w:rsid w:val="00150E32"/>
    <w:rsid w:val="00151BEB"/>
    <w:rsid w:val="00151DCE"/>
    <w:rsid w:val="0015368A"/>
    <w:rsid w:val="00153BD7"/>
    <w:rsid w:val="001545C8"/>
    <w:rsid w:val="00155200"/>
    <w:rsid w:val="0015613E"/>
    <w:rsid w:val="00156D93"/>
    <w:rsid w:val="00156F57"/>
    <w:rsid w:val="00157274"/>
    <w:rsid w:val="00157BF5"/>
    <w:rsid w:val="00157CE2"/>
    <w:rsid w:val="00157DC9"/>
    <w:rsid w:val="00160023"/>
    <w:rsid w:val="00160196"/>
    <w:rsid w:val="00160265"/>
    <w:rsid w:val="001614CB"/>
    <w:rsid w:val="0016195C"/>
    <w:rsid w:val="00162071"/>
    <w:rsid w:val="001623E6"/>
    <w:rsid w:val="00162C23"/>
    <w:rsid w:val="00162CC7"/>
    <w:rsid w:val="00163AC7"/>
    <w:rsid w:val="00163D4C"/>
    <w:rsid w:val="00163EEB"/>
    <w:rsid w:val="00164D43"/>
    <w:rsid w:val="00165653"/>
    <w:rsid w:val="001661F0"/>
    <w:rsid w:val="00166985"/>
    <w:rsid w:val="00166B27"/>
    <w:rsid w:val="001671A8"/>
    <w:rsid w:val="00167402"/>
    <w:rsid w:val="00167D12"/>
    <w:rsid w:val="00170503"/>
    <w:rsid w:val="0017073D"/>
    <w:rsid w:val="00171D2F"/>
    <w:rsid w:val="00172C52"/>
    <w:rsid w:val="0017358C"/>
    <w:rsid w:val="00173F3E"/>
    <w:rsid w:val="001740DB"/>
    <w:rsid w:val="001746A8"/>
    <w:rsid w:val="00174986"/>
    <w:rsid w:val="001749DC"/>
    <w:rsid w:val="00175502"/>
    <w:rsid w:val="00175C5D"/>
    <w:rsid w:val="00175E8E"/>
    <w:rsid w:val="001762DD"/>
    <w:rsid w:val="00176927"/>
    <w:rsid w:val="0017729E"/>
    <w:rsid w:val="00177A11"/>
    <w:rsid w:val="0018021D"/>
    <w:rsid w:val="001803DF"/>
    <w:rsid w:val="001804E0"/>
    <w:rsid w:val="001808EC"/>
    <w:rsid w:val="00180960"/>
    <w:rsid w:val="00180EF7"/>
    <w:rsid w:val="00180F5F"/>
    <w:rsid w:val="00181470"/>
    <w:rsid w:val="001816AC"/>
    <w:rsid w:val="0018187C"/>
    <w:rsid w:val="001824EA"/>
    <w:rsid w:val="001832F6"/>
    <w:rsid w:val="001834B5"/>
    <w:rsid w:val="00183903"/>
    <w:rsid w:val="00183AF1"/>
    <w:rsid w:val="00184562"/>
    <w:rsid w:val="00184EB5"/>
    <w:rsid w:val="00185078"/>
    <w:rsid w:val="00185184"/>
    <w:rsid w:val="00186D8D"/>
    <w:rsid w:val="00187F07"/>
    <w:rsid w:val="001903D7"/>
    <w:rsid w:val="00191C39"/>
    <w:rsid w:val="0019257A"/>
    <w:rsid w:val="0019260D"/>
    <w:rsid w:val="00192740"/>
    <w:rsid w:val="0019306D"/>
    <w:rsid w:val="001930F6"/>
    <w:rsid w:val="001934F3"/>
    <w:rsid w:val="001937A5"/>
    <w:rsid w:val="0019468A"/>
    <w:rsid w:val="00194B19"/>
    <w:rsid w:val="00194CF0"/>
    <w:rsid w:val="00196F5C"/>
    <w:rsid w:val="00197A6B"/>
    <w:rsid w:val="001A041B"/>
    <w:rsid w:val="001A077C"/>
    <w:rsid w:val="001A0A91"/>
    <w:rsid w:val="001A1423"/>
    <w:rsid w:val="001A197C"/>
    <w:rsid w:val="001A3337"/>
    <w:rsid w:val="001A39D0"/>
    <w:rsid w:val="001A3B46"/>
    <w:rsid w:val="001A46A0"/>
    <w:rsid w:val="001A554D"/>
    <w:rsid w:val="001A5B48"/>
    <w:rsid w:val="001A6162"/>
    <w:rsid w:val="001A6275"/>
    <w:rsid w:val="001A6B47"/>
    <w:rsid w:val="001A6C13"/>
    <w:rsid w:val="001A6F81"/>
    <w:rsid w:val="001A7198"/>
    <w:rsid w:val="001A76A4"/>
    <w:rsid w:val="001B171E"/>
    <w:rsid w:val="001B198E"/>
    <w:rsid w:val="001B1C97"/>
    <w:rsid w:val="001B1F2D"/>
    <w:rsid w:val="001B1FC8"/>
    <w:rsid w:val="001B2867"/>
    <w:rsid w:val="001B2E89"/>
    <w:rsid w:val="001B3D38"/>
    <w:rsid w:val="001B3FD6"/>
    <w:rsid w:val="001B4090"/>
    <w:rsid w:val="001B4588"/>
    <w:rsid w:val="001B45E7"/>
    <w:rsid w:val="001B4CC7"/>
    <w:rsid w:val="001B4F73"/>
    <w:rsid w:val="001B5518"/>
    <w:rsid w:val="001B5669"/>
    <w:rsid w:val="001B60DF"/>
    <w:rsid w:val="001B7305"/>
    <w:rsid w:val="001B775D"/>
    <w:rsid w:val="001B77F4"/>
    <w:rsid w:val="001B7A4C"/>
    <w:rsid w:val="001C0744"/>
    <w:rsid w:val="001C1435"/>
    <w:rsid w:val="001C1580"/>
    <w:rsid w:val="001C2474"/>
    <w:rsid w:val="001C28BD"/>
    <w:rsid w:val="001C2C27"/>
    <w:rsid w:val="001C2F1D"/>
    <w:rsid w:val="001C2F99"/>
    <w:rsid w:val="001C30E6"/>
    <w:rsid w:val="001C30FC"/>
    <w:rsid w:val="001C3616"/>
    <w:rsid w:val="001C3882"/>
    <w:rsid w:val="001C3D97"/>
    <w:rsid w:val="001C4423"/>
    <w:rsid w:val="001C5A48"/>
    <w:rsid w:val="001C5C7E"/>
    <w:rsid w:val="001C5F37"/>
    <w:rsid w:val="001C6976"/>
    <w:rsid w:val="001C6C5E"/>
    <w:rsid w:val="001C7062"/>
    <w:rsid w:val="001C7495"/>
    <w:rsid w:val="001D03CF"/>
    <w:rsid w:val="001D18A7"/>
    <w:rsid w:val="001D1C52"/>
    <w:rsid w:val="001D1F16"/>
    <w:rsid w:val="001D202F"/>
    <w:rsid w:val="001D222B"/>
    <w:rsid w:val="001D2C27"/>
    <w:rsid w:val="001D3181"/>
    <w:rsid w:val="001D3384"/>
    <w:rsid w:val="001D35C6"/>
    <w:rsid w:val="001D3964"/>
    <w:rsid w:val="001D39B9"/>
    <w:rsid w:val="001D3D21"/>
    <w:rsid w:val="001D3E0B"/>
    <w:rsid w:val="001D3FF4"/>
    <w:rsid w:val="001D4743"/>
    <w:rsid w:val="001D5292"/>
    <w:rsid w:val="001D56C6"/>
    <w:rsid w:val="001D5A98"/>
    <w:rsid w:val="001D6CAA"/>
    <w:rsid w:val="001D7337"/>
    <w:rsid w:val="001D73B5"/>
    <w:rsid w:val="001D759C"/>
    <w:rsid w:val="001D7AF3"/>
    <w:rsid w:val="001E079F"/>
    <w:rsid w:val="001E1EDC"/>
    <w:rsid w:val="001E2CEA"/>
    <w:rsid w:val="001E309A"/>
    <w:rsid w:val="001E3F82"/>
    <w:rsid w:val="001E41A7"/>
    <w:rsid w:val="001E4255"/>
    <w:rsid w:val="001E425D"/>
    <w:rsid w:val="001E43ED"/>
    <w:rsid w:val="001E4728"/>
    <w:rsid w:val="001E4B25"/>
    <w:rsid w:val="001E4C77"/>
    <w:rsid w:val="001E71D4"/>
    <w:rsid w:val="001E7EC5"/>
    <w:rsid w:val="001F131E"/>
    <w:rsid w:val="001F1804"/>
    <w:rsid w:val="001F1C5F"/>
    <w:rsid w:val="001F1F14"/>
    <w:rsid w:val="001F3005"/>
    <w:rsid w:val="001F4D4A"/>
    <w:rsid w:val="001F6F1B"/>
    <w:rsid w:val="001F75D3"/>
    <w:rsid w:val="001F75F0"/>
    <w:rsid w:val="001F7E6F"/>
    <w:rsid w:val="0020091F"/>
    <w:rsid w:val="00201771"/>
    <w:rsid w:val="00201C7A"/>
    <w:rsid w:val="0020211C"/>
    <w:rsid w:val="0020269A"/>
    <w:rsid w:val="002028A3"/>
    <w:rsid w:val="00202D7F"/>
    <w:rsid w:val="00202F30"/>
    <w:rsid w:val="00203E47"/>
    <w:rsid w:val="00204102"/>
    <w:rsid w:val="00204546"/>
    <w:rsid w:val="00204E9B"/>
    <w:rsid w:val="0020509A"/>
    <w:rsid w:val="002061C7"/>
    <w:rsid w:val="002065FD"/>
    <w:rsid w:val="00206952"/>
    <w:rsid w:val="00207824"/>
    <w:rsid w:val="00207984"/>
    <w:rsid w:val="00210519"/>
    <w:rsid w:val="0021060F"/>
    <w:rsid w:val="002109CA"/>
    <w:rsid w:val="00211AD3"/>
    <w:rsid w:val="00211CDE"/>
    <w:rsid w:val="00212109"/>
    <w:rsid w:val="002127F1"/>
    <w:rsid w:val="002132A4"/>
    <w:rsid w:val="00213B75"/>
    <w:rsid w:val="00213EAC"/>
    <w:rsid w:val="00214556"/>
    <w:rsid w:val="00214A6C"/>
    <w:rsid w:val="002150C2"/>
    <w:rsid w:val="0021516F"/>
    <w:rsid w:val="002157CB"/>
    <w:rsid w:val="00215C5C"/>
    <w:rsid w:val="0021600E"/>
    <w:rsid w:val="00216CA9"/>
    <w:rsid w:val="00216DA0"/>
    <w:rsid w:val="00216EE2"/>
    <w:rsid w:val="002172F1"/>
    <w:rsid w:val="002176F7"/>
    <w:rsid w:val="002178F7"/>
    <w:rsid w:val="00217EB2"/>
    <w:rsid w:val="00217F68"/>
    <w:rsid w:val="0022070A"/>
    <w:rsid w:val="00220F47"/>
    <w:rsid w:val="00222608"/>
    <w:rsid w:val="00223B54"/>
    <w:rsid w:val="00224C91"/>
    <w:rsid w:val="00224D54"/>
    <w:rsid w:val="00224EDD"/>
    <w:rsid w:val="00224F51"/>
    <w:rsid w:val="0022525D"/>
    <w:rsid w:val="002262C6"/>
    <w:rsid w:val="002273D7"/>
    <w:rsid w:val="002301ED"/>
    <w:rsid w:val="002303EC"/>
    <w:rsid w:val="00230714"/>
    <w:rsid w:val="00230A12"/>
    <w:rsid w:val="00231337"/>
    <w:rsid w:val="00231678"/>
    <w:rsid w:val="00231C6F"/>
    <w:rsid w:val="00231EA6"/>
    <w:rsid w:val="00232199"/>
    <w:rsid w:val="00232371"/>
    <w:rsid w:val="002324DE"/>
    <w:rsid w:val="00233F30"/>
    <w:rsid w:val="00234AF3"/>
    <w:rsid w:val="002357B1"/>
    <w:rsid w:val="00235868"/>
    <w:rsid w:val="00236FBE"/>
    <w:rsid w:val="002373EE"/>
    <w:rsid w:val="0023770D"/>
    <w:rsid w:val="00237DA2"/>
    <w:rsid w:val="0024033C"/>
    <w:rsid w:val="0024036F"/>
    <w:rsid w:val="00240BDC"/>
    <w:rsid w:val="00240C8F"/>
    <w:rsid w:val="00241254"/>
    <w:rsid w:val="002412B8"/>
    <w:rsid w:val="00242329"/>
    <w:rsid w:val="00243917"/>
    <w:rsid w:val="00243B94"/>
    <w:rsid w:val="00243C9A"/>
    <w:rsid w:val="00243D62"/>
    <w:rsid w:val="0024403C"/>
    <w:rsid w:val="00244AF4"/>
    <w:rsid w:val="002452AF"/>
    <w:rsid w:val="00245516"/>
    <w:rsid w:val="00245884"/>
    <w:rsid w:val="0024615C"/>
    <w:rsid w:val="00246617"/>
    <w:rsid w:val="0024675B"/>
    <w:rsid w:val="0024685A"/>
    <w:rsid w:val="00246D94"/>
    <w:rsid w:val="00247316"/>
    <w:rsid w:val="00247C65"/>
    <w:rsid w:val="00247E7E"/>
    <w:rsid w:val="00250812"/>
    <w:rsid w:val="002509B1"/>
    <w:rsid w:val="00250AAB"/>
    <w:rsid w:val="00251197"/>
    <w:rsid w:val="00251203"/>
    <w:rsid w:val="0025131F"/>
    <w:rsid w:val="00251603"/>
    <w:rsid w:val="0025161A"/>
    <w:rsid w:val="00252225"/>
    <w:rsid w:val="00252807"/>
    <w:rsid w:val="00252CBA"/>
    <w:rsid w:val="00252F0A"/>
    <w:rsid w:val="00253307"/>
    <w:rsid w:val="002539DF"/>
    <w:rsid w:val="00254633"/>
    <w:rsid w:val="00254889"/>
    <w:rsid w:val="00255217"/>
    <w:rsid w:val="00255274"/>
    <w:rsid w:val="002556F6"/>
    <w:rsid w:val="00257050"/>
    <w:rsid w:val="00260858"/>
    <w:rsid w:val="00260D2F"/>
    <w:rsid w:val="002612B2"/>
    <w:rsid w:val="002613AE"/>
    <w:rsid w:val="002614A3"/>
    <w:rsid w:val="0026191C"/>
    <w:rsid w:val="00261A10"/>
    <w:rsid w:val="00261DD2"/>
    <w:rsid w:val="00261F8B"/>
    <w:rsid w:val="00262357"/>
    <w:rsid w:val="00262645"/>
    <w:rsid w:val="00263753"/>
    <w:rsid w:val="00263C54"/>
    <w:rsid w:val="00264328"/>
    <w:rsid w:val="00264638"/>
    <w:rsid w:val="0026472F"/>
    <w:rsid w:val="00264B58"/>
    <w:rsid w:val="00264C84"/>
    <w:rsid w:val="00265C6F"/>
    <w:rsid w:val="00266081"/>
    <w:rsid w:val="00266C78"/>
    <w:rsid w:val="00267266"/>
    <w:rsid w:val="002673E9"/>
    <w:rsid w:val="0026789D"/>
    <w:rsid w:val="00267B26"/>
    <w:rsid w:val="00270C48"/>
    <w:rsid w:val="0027180C"/>
    <w:rsid w:val="00271AA6"/>
    <w:rsid w:val="00272AFC"/>
    <w:rsid w:val="00272F2E"/>
    <w:rsid w:val="0027308B"/>
    <w:rsid w:val="0027349F"/>
    <w:rsid w:val="00273D43"/>
    <w:rsid w:val="00273D44"/>
    <w:rsid w:val="00273F23"/>
    <w:rsid w:val="002740F4"/>
    <w:rsid w:val="00274234"/>
    <w:rsid w:val="0027462A"/>
    <w:rsid w:val="00274D65"/>
    <w:rsid w:val="0027502B"/>
    <w:rsid w:val="00275D90"/>
    <w:rsid w:val="002765B2"/>
    <w:rsid w:val="002767F9"/>
    <w:rsid w:val="00276959"/>
    <w:rsid w:val="00277A95"/>
    <w:rsid w:val="00277EE0"/>
    <w:rsid w:val="00280293"/>
    <w:rsid w:val="002805A7"/>
    <w:rsid w:val="0028076D"/>
    <w:rsid w:val="00281458"/>
    <w:rsid w:val="002823B8"/>
    <w:rsid w:val="00282569"/>
    <w:rsid w:val="002828E3"/>
    <w:rsid w:val="00282B36"/>
    <w:rsid w:val="00283464"/>
    <w:rsid w:val="00283AB8"/>
    <w:rsid w:val="00283D51"/>
    <w:rsid w:val="002848D4"/>
    <w:rsid w:val="0028586F"/>
    <w:rsid w:val="002859FF"/>
    <w:rsid w:val="00285DBF"/>
    <w:rsid w:val="00285E01"/>
    <w:rsid w:val="00285E44"/>
    <w:rsid w:val="00285F2A"/>
    <w:rsid w:val="00286163"/>
    <w:rsid w:val="00286AE4"/>
    <w:rsid w:val="0029023A"/>
    <w:rsid w:val="00290F68"/>
    <w:rsid w:val="002919A4"/>
    <w:rsid w:val="00291A06"/>
    <w:rsid w:val="00291B06"/>
    <w:rsid w:val="00292221"/>
    <w:rsid w:val="002922D3"/>
    <w:rsid w:val="002929B5"/>
    <w:rsid w:val="00294518"/>
    <w:rsid w:val="00294902"/>
    <w:rsid w:val="00294A68"/>
    <w:rsid w:val="00294B8A"/>
    <w:rsid w:val="00294EF6"/>
    <w:rsid w:val="0029586B"/>
    <w:rsid w:val="00295C2E"/>
    <w:rsid w:val="00295CFF"/>
    <w:rsid w:val="002969D0"/>
    <w:rsid w:val="002971BF"/>
    <w:rsid w:val="00297504"/>
    <w:rsid w:val="002979B2"/>
    <w:rsid w:val="00297BEB"/>
    <w:rsid w:val="002A0350"/>
    <w:rsid w:val="002A04E8"/>
    <w:rsid w:val="002A0B8D"/>
    <w:rsid w:val="002A0E56"/>
    <w:rsid w:val="002A2FEA"/>
    <w:rsid w:val="002A3443"/>
    <w:rsid w:val="002A3F15"/>
    <w:rsid w:val="002A4A03"/>
    <w:rsid w:val="002A4D50"/>
    <w:rsid w:val="002A5631"/>
    <w:rsid w:val="002A6DF3"/>
    <w:rsid w:val="002A70C3"/>
    <w:rsid w:val="002A7635"/>
    <w:rsid w:val="002A7A78"/>
    <w:rsid w:val="002B0C06"/>
    <w:rsid w:val="002B1B10"/>
    <w:rsid w:val="002B2AD6"/>
    <w:rsid w:val="002B3267"/>
    <w:rsid w:val="002B3525"/>
    <w:rsid w:val="002B3A19"/>
    <w:rsid w:val="002B4912"/>
    <w:rsid w:val="002B4EED"/>
    <w:rsid w:val="002B50C7"/>
    <w:rsid w:val="002B60B4"/>
    <w:rsid w:val="002B6674"/>
    <w:rsid w:val="002B6B76"/>
    <w:rsid w:val="002B6E04"/>
    <w:rsid w:val="002B784B"/>
    <w:rsid w:val="002B7E9C"/>
    <w:rsid w:val="002B7FD5"/>
    <w:rsid w:val="002C034A"/>
    <w:rsid w:val="002C050A"/>
    <w:rsid w:val="002C0DC7"/>
    <w:rsid w:val="002C1E96"/>
    <w:rsid w:val="002C2CAF"/>
    <w:rsid w:val="002C33FD"/>
    <w:rsid w:val="002C348D"/>
    <w:rsid w:val="002C3AA9"/>
    <w:rsid w:val="002C3EB2"/>
    <w:rsid w:val="002C4001"/>
    <w:rsid w:val="002C4078"/>
    <w:rsid w:val="002C4424"/>
    <w:rsid w:val="002C4647"/>
    <w:rsid w:val="002C50D0"/>
    <w:rsid w:val="002C539C"/>
    <w:rsid w:val="002C54CE"/>
    <w:rsid w:val="002C54ED"/>
    <w:rsid w:val="002C5811"/>
    <w:rsid w:val="002C605E"/>
    <w:rsid w:val="002C646A"/>
    <w:rsid w:val="002C6546"/>
    <w:rsid w:val="002C704C"/>
    <w:rsid w:val="002C72AE"/>
    <w:rsid w:val="002C7EBB"/>
    <w:rsid w:val="002C7F03"/>
    <w:rsid w:val="002D08A5"/>
    <w:rsid w:val="002D0DB5"/>
    <w:rsid w:val="002D214C"/>
    <w:rsid w:val="002D21CC"/>
    <w:rsid w:val="002D2695"/>
    <w:rsid w:val="002D272A"/>
    <w:rsid w:val="002D29DA"/>
    <w:rsid w:val="002D29F1"/>
    <w:rsid w:val="002D2DCE"/>
    <w:rsid w:val="002D371F"/>
    <w:rsid w:val="002D44D2"/>
    <w:rsid w:val="002D464A"/>
    <w:rsid w:val="002D467D"/>
    <w:rsid w:val="002D524E"/>
    <w:rsid w:val="002D557A"/>
    <w:rsid w:val="002D5B8B"/>
    <w:rsid w:val="002D5C33"/>
    <w:rsid w:val="002D6AA4"/>
    <w:rsid w:val="002D6ABC"/>
    <w:rsid w:val="002D795B"/>
    <w:rsid w:val="002E00AA"/>
    <w:rsid w:val="002E0F72"/>
    <w:rsid w:val="002E12D5"/>
    <w:rsid w:val="002E1756"/>
    <w:rsid w:val="002E1822"/>
    <w:rsid w:val="002E19E2"/>
    <w:rsid w:val="002E1A06"/>
    <w:rsid w:val="002E1AC9"/>
    <w:rsid w:val="002E1C5D"/>
    <w:rsid w:val="002E1C8E"/>
    <w:rsid w:val="002E2A9E"/>
    <w:rsid w:val="002E3134"/>
    <w:rsid w:val="002E4B6C"/>
    <w:rsid w:val="002E5CAD"/>
    <w:rsid w:val="002E5D93"/>
    <w:rsid w:val="002E6DCA"/>
    <w:rsid w:val="002E72BF"/>
    <w:rsid w:val="002E736F"/>
    <w:rsid w:val="002E7742"/>
    <w:rsid w:val="002E7815"/>
    <w:rsid w:val="002F1612"/>
    <w:rsid w:val="002F1707"/>
    <w:rsid w:val="002F17F7"/>
    <w:rsid w:val="002F23BB"/>
    <w:rsid w:val="002F25DF"/>
    <w:rsid w:val="002F2822"/>
    <w:rsid w:val="002F2867"/>
    <w:rsid w:val="002F2A5F"/>
    <w:rsid w:val="002F2FB6"/>
    <w:rsid w:val="002F35F7"/>
    <w:rsid w:val="002F4168"/>
    <w:rsid w:val="002F4395"/>
    <w:rsid w:val="002F43BD"/>
    <w:rsid w:val="002F4583"/>
    <w:rsid w:val="002F4BA2"/>
    <w:rsid w:val="002F4F68"/>
    <w:rsid w:val="002F55D9"/>
    <w:rsid w:val="002F56BD"/>
    <w:rsid w:val="002F59C6"/>
    <w:rsid w:val="002F5AD4"/>
    <w:rsid w:val="002F5F75"/>
    <w:rsid w:val="002F6FBA"/>
    <w:rsid w:val="002F747F"/>
    <w:rsid w:val="002F760F"/>
    <w:rsid w:val="002F7AA8"/>
    <w:rsid w:val="002F7E49"/>
    <w:rsid w:val="0030003A"/>
    <w:rsid w:val="00301256"/>
    <w:rsid w:val="0030293C"/>
    <w:rsid w:val="00303450"/>
    <w:rsid w:val="0030379C"/>
    <w:rsid w:val="0030392A"/>
    <w:rsid w:val="00303A83"/>
    <w:rsid w:val="00303CB4"/>
    <w:rsid w:val="00303E9D"/>
    <w:rsid w:val="00303F2C"/>
    <w:rsid w:val="003041DC"/>
    <w:rsid w:val="003046A3"/>
    <w:rsid w:val="00304ED8"/>
    <w:rsid w:val="00305668"/>
    <w:rsid w:val="00305A2A"/>
    <w:rsid w:val="0030763F"/>
    <w:rsid w:val="00307B9E"/>
    <w:rsid w:val="00307FBF"/>
    <w:rsid w:val="00310351"/>
    <w:rsid w:val="00310428"/>
    <w:rsid w:val="003106A5"/>
    <w:rsid w:val="0031099F"/>
    <w:rsid w:val="003111C8"/>
    <w:rsid w:val="00311D3A"/>
    <w:rsid w:val="00311F7B"/>
    <w:rsid w:val="003121C7"/>
    <w:rsid w:val="003126B3"/>
    <w:rsid w:val="00312D24"/>
    <w:rsid w:val="00312E06"/>
    <w:rsid w:val="00313229"/>
    <w:rsid w:val="0031423E"/>
    <w:rsid w:val="003145A5"/>
    <w:rsid w:val="003149AB"/>
    <w:rsid w:val="00314D6D"/>
    <w:rsid w:val="00315137"/>
    <w:rsid w:val="0031532E"/>
    <w:rsid w:val="003154E1"/>
    <w:rsid w:val="00315A6E"/>
    <w:rsid w:val="00315E07"/>
    <w:rsid w:val="003164A8"/>
    <w:rsid w:val="003167DB"/>
    <w:rsid w:val="00316807"/>
    <w:rsid w:val="00316AF0"/>
    <w:rsid w:val="00316B2C"/>
    <w:rsid w:val="00316E4A"/>
    <w:rsid w:val="003178FB"/>
    <w:rsid w:val="0032009B"/>
    <w:rsid w:val="0032063C"/>
    <w:rsid w:val="00320AD1"/>
    <w:rsid w:val="00320B4D"/>
    <w:rsid w:val="003210D8"/>
    <w:rsid w:val="003228A7"/>
    <w:rsid w:val="00322AC4"/>
    <w:rsid w:val="00323C36"/>
    <w:rsid w:val="00324742"/>
    <w:rsid w:val="0032552F"/>
    <w:rsid w:val="00326686"/>
    <w:rsid w:val="00327415"/>
    <w:rsid w:val="00327420"/>
    <w:rsid w:val="003275DE"/>
    <w:rsid w:val="00327F13"/>
    <w:rsid w:val="003304E0"/>
    <w:rsid w:val="00331154"/>
    <w:rsid w:val="00331176"/>
    <w:rsid w:val="0033243C"/>
    <w:rsid w:val="0033251F"/>
    <w:rsid w:val="00333993"/>
    <w:rsid w:val="00333CF2"/>
    <w:rsid w:val="00334072"/>
    <w:rsid w:val="00334414"/>
    <w:rsid w:val="00334678"/>
    <w:rsid w:val="00334C81"/>
    <w:rsid w:val="00335EF3"/>
    <w:rsid w:val="00336189"/>
    <w:rsid w:val="00336397"/>
    <w:rsid w:val="00337492"/>
    <w:rsid w:val="00337778"/>
    <w:rsid w:val="003405C1"/>
    <w:rsid w:val="00340A81"/>
    <w:rsid w:val="00340CE4"/>
    <w:rsid w:val="0034123F"/>
    <w:rsid w:val="003418BC"/>
    <w:rsid w:val="00342214"/>
    <w:rsid w:val="003425FD"/>
    <w:rsid w:val="00342A9E"/>
    <w:rsid w:val="00343072"/>
    <w:rsid w:val="00343379"/>
    <w:rsid w:val="003437BA"/>
    <w:rsid w:val="00344113"/>
    <w:rsid w:val="003442D5"/>
    <w:rsid w:val="0034432D"/>
    <w:rsid w:val="003451B4"/>
    <w:rsid w:val="00345B9C"/>
    <w:rsid w:val="003466F1"/>
    <w:rsid w:val="00346D25"/>
    <w:rsid w:val="00346D5E"/>
    <w:rsid w:val="00346DA5"/>
    <w:rsid w:val="00347431"/>
    <w:rsid w:val="00347529"/>
    <w:rsid w:val="0034788C"/>
    <w:rsid w:val="00347B8E"/>
    <w:rsid w:val="00347F9E"/>
    <w:rsid w:val="00350182"/>
    <w:rsid w:val="003503CF"/>
    <w:rsid w:val="00350CF0"/>
    <w:rsid w:val="00350DFE"/>
    <w:rsid w:val="00350E76"/>
    <w:rsid w:val="003512A3"/>
    <w:rsid w:val="00352C82"/>
    <w:rsid w:val="00352F60"/>
    <w:rsid w:val="003543D9"/>
    <w:rsid w:val="003544D8"/>
    <w:rsid w:val="00354DFD"/>
    <w:rsid w:val="00354FAD"/>
    <w:rsid w:val="003551D2"/>
    <w:rsid w:val="00355B4F"/>
    <w:rsid w:val="00355EFE"/>
    <w:rsid w:val="00356088"/>
    <w:rsid w:val="0035615D"/>
    <w:rsid w:val="003566F2"/>
    <w:rsid w:val="00356C6B"/>
    <w:rsid w:val="00356E4E"/>
    <w:rsid w:val="003576BA"/>
    <w:rsid w:val="0035786E"/>
    <w:rsid w:val="003578C6"/>
    <w:rsid w:val="00357FBF"/>
    <w:rsid w:val="003600CA"/>
    <w:rsid w:val="00360D10"/>
    <w:rsid w:val="00361F2F"/>
    <w:rsid w:val="00361FAD"/>
    <w:rsid w:val="00362A30"/>
    <w:rsid w:val="00362BCC"/>
    <w:rsid w:val="00362FB6"/>
    <w:rsid w:val="00363267"/>
    <w:rsid w:val="003635C5"/>
    <w:rsid w:val="003635E7"/>
    <w:rsid w:val="00363D1B"/>
    <w:rsid w:val="00364DDC"/>
    <w:rsid w:val="00365393"/>
    <w:rsid w:val="00365714"/>
    <w:rsid w:val="003657D5"/>
    <w:rsid w:val="00365949"/>
    <w:rsid w:val="00365A0F"/>
    <w:rsid w:val="00365B74"/>
    <w:rsid w:val="00366524"/>
    <w:rsid w:val="00366E6E"/>
    <w:rsid w:val="00366E75"/>
    <w:rsid w:val="00367A49"/>
    <w:rsid w:val="00370461"/>
    <w:rsid w:val="003708E7"/>
    <w:rsid w:val="00370A39"/>
    <w:rsid w:val="00371901"/>
    <w:rsid w:val="00372C61"/>
    <w:rsid w:val="00372C77"/>
    <w:rsid w:val="00372ECA"/>
    <w:rsid w:val="00372F9E"/>
    <w:rsid w:val="0037306F"/>
    <w:rsid w:val="0037322E"/>
    <w:rsid w:val="0037415D"/>
    <w:rsid w:val="00374637"/>
    <w:rsid w:val="0037512B"/>
    <w:rsid w:val="00375880"/>
    <w:rsid w:val="00375894"/>
    <w:rsid w:val="00377BDC"/>
    <w:rsid w:val="00377BFA"/>
    <w:rsid w:val="00380B6E"/>
    <w:rsid w:val="00380BE7"/>
    <w:rsid w:val="00381681"/>
    <w:rsid w:val="00381975"/>
    <w:rsid w:val="00381CF0"/>
    <w:rsid w:val="003820CB"/>
    <w:rsid w:val="00382337"/>
    <w:rsid w:val="003825E5"/>
    <w:rsid w:val="00382AA8"/>
    <w:rsid w:val="00382AD8"/>
    <w:rsid w:val="00382B77"/>
    <w:rsid w:val="00383B69"/>
    <w:rsid w:val="00383EC4"/>
    <w:rsid w:val="00383EF9"/>
    <w:rsid w:val="0038452B"/>
    <w:rsid w:val="0038506B"/>
    <w:rsid w:val="0038606A"/>
    <w:rsid w:val="00386263"/>
    <w:rsid w:val="003869D1"/>
    <w:rsid w:val="00390B6F"/>
    <w:rsid w:val="00390EE7"/>
    <w:rsid w:val="00391048"/>
    <w:rsid w:val="003910AF"/>
    <w:rsid w:val="0039116F"/>
    <w:rsid w:val="003913EE"/>
    <w:rsid w:val="003917DE"/>
    <w:rsid w:val="00391D3B"/>
    <w:rsid w:val="00391EAD"/>
    <w:rsid w:val="0039201B"/>
    <w:rsid w:val="00392429"/>
    <w:rsid w:val="00392BA9"/>
    <w:rsid w:val="00392F7A"/>
    <w:rsid w:val="00393F69"/>
    <w:rsid w:val="0039417A"/>
    <w:rsid w:val="00394E5C"/>
    <w:rsid w:val="0039501E"/>
    <w:rsid w:val="00395BC5"/>
    <w:rsid w:val="0039615D"/>
    <w:rsid w:val="00396470"/>
    <w:rsid w:val="003A0DDE"/>
    <w:rsid w:val="003A1744"/>
    <w:rsid w:val="003A1763"/>
    <w:rsid w:val="003A2A08"/>
    <w:rsid w:val="003A2AE8"/>
    <w:rsid w:val="003A322D"/>
    <w:rsid w:val="003A4584"/>
    <w:rsid w:val="003A48CA"/>
    <w:rsid w:val="003A48F3"/>
    <w:rsid w:val="003A4C42"/>
    <w:rsid w:val="003A5506"/>
    <w:rsid w:val="003A5548"/>
    <w:rsid w:val="003A5A53"/>
    <w:rsid w:val="003A5AAB"/>
    <w:rsid w:val="003A6FE2"/>
    <w:rsid w:val="003A7D00"/>
    <w:rsid w:val="003A7ECA"/>
    <w:rsid w:val="003A7F83"/>
    <w:rsid w:val="003B0248"/>
    <w:rsid w:val="003B03DF"/>
    <w:rsid w:val="003B0D46"/>
    <w:rsid w:val="003B0FEC"/>
    <w:rsid w:val="003B130B"/>
    <w:rsid w:val="003B1398"/>
    <w:rsid w:val="003B1403"/>
    <w:rsid w:val="003B1791"/>
    <w:rsid w:val="003B1D6B"/>
    <w:rsid w:val="003B1E95"/>
    <w:rsid w:val="003B1EAB"/>
    <w:rsid w:val="003B2A7A"/>
    <w:rsid w:val="003B2D06"/>
    <w:rsid w:val="003B2FBC"/>
    <w:rsid w:val="003B311D"/>
    <w:rsid w:val="003B33C1"/>
    <w:rsid w:val="003B3ECC"/>
    <w:rsid w:val="003B4577"/>
    <w:rsid w:val="003B49B9"/>
    <w:rsid w:val="003B4C20"/>
    <w:rsid w:val="003B52CA"/>
    <w:rsid w:val="003B5E6E"/>
    <w:rsid w:val="003B66C8"/>
    <w:rsid w:val="003B6F8C"/>
    <w:rsid w:val="003B706A"/>
    <w:rsid w:val="003B71E3"/>
    <w:rsid w:val="003B76AD"/>
    <w:rsid w:val="003B7F48"/>
    <w:rsid w:val="003C0A2A"/>
    <w:rsid w:val="003C1036"/>
    <w:rsid w:val="003C1653"/>
    <w:rsid w:val="003C1821"/>
    <w:rsid w:val="003C1857"/>
    <w:rsid w:val="003C1924"/>
    <w:rsid w:val="003C32F6"/>
    <w:rsid w:val="003C3AE0"/>
    <w:rsid w:val="003C4731"/>
    <w:rsid w:val="003C4DCA"/>
    <w:rsid w:val="003C4E52"/>
    <w:rsid w:val="003C568C"/>
    <w:rsid w:val="003C5A0F"/>
    <w:rsid w:val="003C66E6"/>
    <w:rsid w:val="003C739D"/>
    <w:rsid w:val="003C76C7"/>
    <w:rsid w:val="003C76EA"/>
    <w:rsid w:val="003C794C"/>
    <w:rsid w:val="003D0666"/>
    <w:rsid w:val="003D0AE5"/>
    <w:rsid w:val="003D0C4C"/>
    <w:rsid w:val="003D1592"/>
    <w:rsid w:val="003D16BE"/>
    <w:rsid w:val="003D17EE"/>
    <w:rsid w:val="003D1FB1"/>
    <w:rsid w:val="003D2374"/>
    <w:rsid w:val="003D23B9"/>
    <w:rsid w:val="003D24A9"/>
    <w:rsid w:val="003D261D"/>
    <w:rsid w:val="003D2745"/>
    <w:rsid w:val="003D2B39"/>
    <w:rsid w:val="003D2FF7"/>
    <w:rsid w:val="003D400F"/>
    <w:rsid w:val="003D4C7C"/>
    <w:rsid w:val="003D4EC8"/>
    <w:rsid w:val="003D514C"/>
    <w:rsid w:val="003D53B2"/>
    <w:rsid w:val="003D5A1F"/>
    <w:rsid w:val="003D5AB5"/>
    <w:rsid w:val="003D5FFE"/>
    <w:rsid w:val="003D60E3"/>
    <w:rsid w:val="003D6717"/>
    <w:rsid w:val="003D6808"/>
    <w:rsid w:val="003D74F5"/>
    <w:rsid w:val="003D78C3"/>
    <w:rsid w:val="003D79E0"/>
    <w:rsid w:val="003D7CC4"/>
    <w:rsid w:val="003E0548"/>
    <w:rsid w:val="003E0790"/>
    <w:rsid w:val="003E07A1"/>
    <w:rsid w:val="003E0FF0"/>
    <w:rsid w:val="003E1454"/>
    <w:rsid w:val="003E17C9"/>
    <w:rsid w:val="003E1B50"/>
    <w:rsid w:val="003E233C"/>
    <w:rsid w:val="003E313C"/>
    <w:rsid w:val="003E45B4"/>
    <w:rsid w:val="003E507C"/>
    <w:rsid w:val="003E58C3"/>
    <w:rsid w:val="003E5B74"/>
    <w:rsid w:val="003E5D99"/>
    <w:rsid w:val="003E6BB2"/>
    <w:rsid w:val="003E7EFD"/>
    <w:rsid w:val="003F03D0"/>
    <w:rsid w:val="003F1545"/>
    <w:rsid w:val="003F15C8"/>
    <w:rsid w:val="003F1E95"/>
    <w:rsid w:val="003F2380"/>
    <w:rsid w:val="003F3DE9"/>
    <w:rsid w:val="003F41CB"/>
    <w:rsid w:val="003F43C3"/>
    <w:rsid w:val="003F5910"/>
    <w:rsid w:val="003F5A9A"/>
    <w:rsid w:val="003F5ADE"/>
    <w:rsid w:val="003F6622"/>
    <w:rsid w:val="003F666C"/>
    <w:rsid w:val="003F69C9"/>
    <w:rsid w:val="003F7064"/>
    <w:rsid w:val="003F706E"/>
    <w:rsid w:val="00400837"/>
    <w:rsid w:val="00400E53"/>
    <w:rsid w:val="0040121A"/>
    <w:rsid w:val="004014A4"/>
    <w:rsid w:val="00401EFA"/>
    <w:rsid w:val="00401F3C"/>
    <w:rsid w:val="004027A9"/>
    <w:rsid w:val="00403A7E"/>
    <w:rsid w:val="00403CDC"/>
    <w:rsid w:val="00403E49"/>
    <w:rsid w:val="00403EF2"/>
    <w:rsid w:val="00404887"/>
    <w:rsid w:val="0040518E"/>
    <w:rsid w:val="00405193"/>
    <w:rsid w:val="0040540E"/>
    <w:rsid w:val="00405FA6"/>
    <w:rsid w:val="004061CA"/>
    <w:rsid w:val="00406837"/>
    <w:rsid w:val="004073F5"/>
    <w:rsid w:val="0040773C"/>
    <w:rsid w:val="0041073B"/>
    <w:rsid w:val="004109B4"/>
    <w:rsid w:val="004115E6"/>
    <w:rsid w:val="00411C1D"/>
    <w:rsid w:val="0041273A"/>
    <w:rsid w:val="004128DD"/>
    <w:rsid w:val="00413030"/>
    <w:rsid w:val="00413599"/>
    <w:rsid w:val="00413E78"/>
    <w:rsid w:val="00414370"/>
    <w:rsid w:val="00414CC0"/>
    <w:rsid w:val="00415610"/>
    <w:rsid w:val="00415941"/>
    <w:rsid w:val="00415985"/>
    <w:rsid w:val="00415EF1"/>
    <w:rsid w:val="00416047"/>
    <w:rsid w:val="004161F9"/>
    <w:rsid w:val="004168D0"/>
    <w:rsid w:val="004176C2"/>
    <w:rsid w:val="00420B72"/>
    <w:rsid w:val="00420E23"/>
    <w:rsid w:val="0042143B"/>
    <w:rsid w:val="00421D2B"/>
    <w:rsid w:val="00422381"/>
    <w:rsid w:val="004223E6"/>
    <w:rsid w:val="0042262F"/>
    <w:rsid w:val="0042268F"/>
    <w:rsid w:val="00422791"/>
    <w:rsid w:val="00422E4F"/>
    <w:rsid w:val="004231D5"/>
    <w:rsid w:val="0042347F"/>
    <w:rsid w:val="004240C2"/>
    <w:rsid w:val="0042418A"/>
    <w:rsid w:val="00424C49"/>
    <w:rsid w:val="00424D0E"/>
    <w:rsid w:val="00424D69"/>
    <w:rsid w:val="00424D93"/>
    <w:rsid w:val="00424FD6"/>
    <w:rsid w:val="00424FF9"/>
    <w:rsid w:val="00425C76"/>
    <w:rsid w:val="00425F05"/>
    <w:rsid w:val="00426CD4"/>
    <w:rsid w:val="00426FF6"/>
    <w:rsid w:val="0042736F"/>
    <w:rsid w:val="00427465"/>
    <w:rsid w:val="00427784"/>
    <w:rsid w:val="00427C85"/>
    <w:rsid w:val="00430035"/>
    <w:rsid w:val="00431138"/>
    <w:rsid w:val="00431A38"/>
    <w:rsid w:val="00431A5D"/>
    <w:rsid w:val="00431BCD"/>
    <w:rsid w:val="00431F15"/>
    <w:rsid w:val="00431FDA"/>
    <w:rsid w:val="00432272"/>
    <w:rsid w:val="00432E3D"/>
    <w:rsid w:val="00432F72"/>
    <w:rsid w:val="00433051"/>
    <w:rsid w:val="004331B6"/>
    <w:rsid w:val="004331D6"/>
    <w:rsid w:val="00433D60"/>
    <w:rsid w:val="00434032"/>
    <w:rsid w:val="00434C1E"/>
    <w:rsid w:val="00434CF3"/>
    <w:rsid w:val="004351D8"/>
    <w:rsid w:val="0043580B"/>
    <w:rsid w:val="00435B3B"/>
    <w:rsid w:val="00435E29"/>
    <w:rsid w:val="00435E98"/>
    <w:rsid w:val="004361F6"/>
    <w:rsid w:val="00436685"/>
    <w:rsid w:val="00436EF2"/>
    <w:rsid w:val="004372EE"/>
    <w:rsid w:val="00437F58"/>
    <w:rsid w:val="00440AB7"/>
    <w:rsid w:val="00440E65"/>
    <w:rsid w:val="00442203"/>
    <w:rsid w:val="00442A50"/>
    <w:rsid w:val="00442F4E"/>
    <w:rsid w:val="00442FFE"/>
    <w:rsid w:val="004430B2"/>
    <w:rsid w:val="004436D1"/>
    <w:rsid w:val="00443E1F"/>
    <w:rsid w:val="004440E9"/>
    <w:rsid w:val="0044550C"/>
    <w:rsid w:val="00445EC5"/>
    <w:rsid w:val="00446429"/>
    <w:rsid w:val="004464FB"/>
    <w:rsid w:val="00447D04"/>
    <w:rsid w:val="00447D15"/>
    <w:rsid w:val="0045022F"/>
    <w:rsid w:val="004505EA"/>
    <w:rsid w:val="00450F67"/>
    <w:rsid w:val="00451BC4"/>
    <w:rsid w:val="00451BFD"/>
    <w:rsid w:val="00451E77"/>
    <w:rsid w:val="00452E10"/>
    <w:rsid w:val="00453DBB"/>
    <w:rsid w:val="004549BC"/>
    <w:rsid w:val="00454A46"/>
    <w:rsid w:val="00454BA8"/>
    <w:rsid w:val="00454E5C"/>
    <w:rsid w:val="004551EB"/>
    <w:rsid w:val="004553B6"/>
    <w:rsid w:val="004558EB"/>
    <w:rsid w:val="00455CE4"/>
    <w:rsid w:val="00456142"/>
    <w:rsid w:val="0045618A"/>
    <w:rsid w:val="00457376"/>
    <w:rsid w:val="004576EB"/>
    <w:rsid w:val="00460313"/>
    <w:rsid w:val="00460E9D"/>
    <w:rsid w:val="00461DC3"/>
    <w:rsid w:val="00461E3F"/>
    <w:rsid w:val="00461EB3"/>
    <w:rsid w:val="00461F53"/>
    <w:rsid w:val="0046238C"/>
    <w:rsid w:val="0046299E"/>
    <w:rsid w:val="00462A84"/>
    <w:rsid w:val="00463A33"/>
    <w:rsid w:val="0046434E"/>
    <w:rsid w:val="00464653"/>
    <w:rsid w:val="0046471B"/>
    <w:rsid w:val="00464FE5"/>
    <w:rsid w:val="00465160"/>
    <w:rsid w:val="004653EE"/>
    <w:rsid w:val="004656FD"/>
    <w:rsid w:val="00465A22"/>
    <w:rsid w:val="00465BED"/>
    <w:rsid w:val="00466A2D"/>
    <w:rsid w:val="004700DC"/>
    <w:rsid w:val="0047048A"/>
    <w:rsid w:val="00470E59"/>
    <w:rsid w:val="00470EAE"/>
    <w:rsid w:val="00470FA9"/>
    <w:rsid w:val="00471120"/>
    <w:rsid w:val="00471305"/>
    <w:rsid w:val="004736AC"/>
    <w:rsid w:val="004743E4"/>
    <w:rsid w:val="00474E7A"/>
    <w:rsid w:val="00475786"/>
    <w:rsid w:val="0047792E"/>
    <w:rsid w:val="00477B67"/>
    <w:rsid w:val="004800A2"/>
    <w:rsid w:val="004807C9"/>
    <w:rsid w:val="004810EF"/>
    <w:rsid w:val="004815A8"/>
    <w:rsid w:val="0048201D"/>
    <w:rsid w:val="00482529"/>
    <w:rsid w:val="004827F8"/>
    <w:rsid w:val="00482FC5"/>
    <w:rsid w:val="00483E26"/>
    <w:rsid w:val="004852E7"/>
    <w:rsid w:val="004856D4"/>
    <w:rsid w:val="004867C2"/>
    <w:rsid w:val="00486ADF"/>
    <w:rsid w:val="00486BB1"/>
    <w:rsid w:val="0048717E"/>
    <w:rsid w:val="004871C2"/>
    <w:rsid w:val="00490235"/>
    <w:rsid w:val="004906E5"/>
    <w:rsid w:val="0049139C"/>
    <w:rsid w:val="00491D98"/>
    <w:rsid w:val="00492396"/>
    <w:rsid w:val="0049282C"/>
    <w:rsid w:val="00493723"/>
    <w:rsid w:val="00493D02"/>
    <w:rsid w:val="00494495"/>
    <w:rsid w:val="00494EF4"/>
    <w:rsid w:val="00495CE7"/>
    <w:rsid w:val="0049632A"/>
    <w:rsid w:val="004966A5"/>
    <w:rsid w:val="004966EB"/>
    <w:rsid w:val="00496709"/>
    <w:rsid w:val="00496A4E"/>
    <w:rsid w:val="00497CB8"/>
    <w:rsid w:val="004A111A"/>
    <w:rsid w:val="004A15BB"/>
    <w:rsid w:val="004A224E"/>
    <w:rsid w:val="004A2746"/>
    <w:rsid w:val="004A2E0B"/>
    <w:rsid w:val="004A2E39"/>
    <w:rsid w:val="004A305C"/>
    <w:rsid w:val="004A307D"/>
    <w:rsid w:val="004A3475"/>
    <w:rsid w:val="004A34D2"/>
    <w:rsid w:val="004A361B"/>
    <w:rsid w:val="004A3E0A"/>
    <w:rsid w:val="004A415E"/>
    <w:rsid w:val="004A4714"/>
    <w:rsid w:val="004A4AFF"/>
    <w:rsid w:val="004A4C63"/>
    <w:rsid w:val="004A5A8B"/>
    <w:rsid w:val="004A648B"/>
    <w:rsid w:val="004A6784"/>
    <w:rsid w:val="004A6841"/>
    <w:rsid w:val="004A6F08"/>
    <w:rsid w:val="004B007C"/>
    <w:rsid w:val="004B0E18"/>
    <w:rsid w:val="004B1191"/>
    <w:rsid w:val="004B1330"/>
    <w:rsid w:val="004B155F"/>
    <w:rsid w:val="004B1E3B"/>
    <w:rsid w:val="004B1FBC"/>
    <w:rsid w:val="004B2544"/>
    <w:rsid w:val="004B3283"/>
    <w:rsid w:val="004B404E"/>
    <w:rsid w:val="004B4400"/>
    <w:rsid w:val="004B4A4C"/>
    <w:rsid w:val="004B4E62"/>
    <w:rsid w:val="004B5157"/>
    <w:rsid w:val="004B5532"/>
    <w:rsid w:val="004B57A6"/>
    <w:rsid w:val="004B6A5B"/>
    <w:rsid w:val="004B6AA0"/>
    <w:rsid w:val="004B71C2"/>
    <w:rsid w:val="004C02BA"/>
    <w:rsid w:val="004C11EF"/>
    <w:rsid w:val="004C1443"/>
    <w:rsid w:val="004C15F0"/>
    <w:rsid w:val="004C17D2"/>
    <w:rsid w:val="004C1C66"/>
    <w:rsid w:val="004C226B"/>
    <w:rsid w:val="004C26CA"/>
    <w:rsid w:val="004C2CE8"/>
    <w:rsid w:val="004C4879"/>
    <w:rsid w:val="004C495B"/>
    <w:rsid w:val="004C4C4C"/>
    <w:rsid w:val="004C4F3E"/>
    <w:rsid w:val="004C5176"/>
    <w:rsid w:val="004C5706"/>
    <w:rsid w:val="004C57AF"/>
    <w:rsid w:val="004C59E6"/>
    <w:rsid w:val="004C5DFE"/>
    <w:rsid w:val="004C63A8"/>
    <w:rsid w:val="004C7A65"/>
    <w:rsid w:val="004C7CC1"/>
    <w:rsid w:val="004D0603"/>
    <w:rsid w:val="004D2498"/>
    <w:rsid w:val="004D257A"/>
    <w:rsid w:val="004D2D3F"/>
    <w:rsid w:val="004D31EA"/>
    <w:rsid w:val="004D3BC1"/>
    <w:rsid w:val="004D4317"/>
    <w:rsid w:val="004D43E3"/>
    <w:rsid w:val="004D5B80"/>
    <w:rsid w:val="004D662B"/>
    <w:rsid w:val="004D67FA"/>
    <w:rsid w:val="004D7B5D"/>
    <w:rsid w:val="004E0FE7"/>
    <w:rsid w:val="004E201A"/>
    <w:rsid w:val="004E2DFF"/>
    <w:rsid w:val="004E4114"/>
    <w:rsid w:val="004E4784"/>
    <w:rsid w:val="004E4995"/>
    <w:rsid w:val="004E4C49"/>
    <w:rsid w:val="004E514F"/>
    <w:rsid w:val="004E5579"/>
    <w:rsid w:val="004E5BD5"/>
    <w:rsid w:val="004E5C30"/>
    <w:rsid w:val="004E5DEC"/>
    <w:rsid w:val="004E61F1"/>
    <w:rsid w:val="004E7D71"/>
    <w:rsid w:val="004F00D4"/>
    <w:rsid w:val="004F05B1"/>
    <w:rsid w:val="004F0A78"/>
    <w:rsid w:val="004F1E9E"/>
    <w:rsid w:val="004F26BC"/>
    <w:rsid w:val="004F3182"/>
    <w:rsid w:val="004F32BE"/>
    <w:rsid w:val="004F3EC8"/>
    <w:rsid w:val="004F3F7C"/>
    <w:rsid w:val="004F406C"/>
    <w:rsid w:val="004F47F8"/>
    <w:rsid w:val="004F5898"/>
    <w:rsid w:val="004F5B46"/>
    <w:rsid w:val="004F6E67"/>
    <w:rsid w:val="004F70B4"/>
    <w:rsid w:val="004F73CE"/>
    <w:rsid w:val="004F7F78"/>
    <w:rsid w:val="00500700"/>
    <w:rsid w:val="0050118F"/>
    <w:rsid w:val="00501E26"/>
    <w:rsid w:val="005021DB"/>
    <w:rsid w:val="00502C63"/>
    <w:rsid w:val="00502EDD"/>
    <w:rsid w:val="005035F3"/>
    <w:rsid w:val="00503AC4"/>
    <w:rsid w:val="0050450E"/>
    <w:rsid w:val="005045C2"/>
    <w:rsid w:val="00504EB4"/>
    <w:rsid w:val="00505393"/>
    <w:rsid w:val="005055F7"/>
    <w:rsid w:val="00505D68"/>
    <w:rsid w:val="005064AC"/>
    <w:rsid w:val="00506719"/>
    <w:rsid w:val="00507A79"/>
    <w:rsid w:val="00507BBF"/>
    <w:rsid w:val="00510017"/>
    <w:rsid w:val="005100A6"/>
    <w:rsid w:val="00510EA1"/>
    <w:rsid w:val="005112F8"/>
    <w:rsid w:val="00511731"/>
    <w:rsid w:val="005119E3"/>
    <w:rsid w:val="00511E32"/>
    <w:rsid w:val="005125FD"/>
    <w:rsid w:val="00512CD9"/>
    <w:rsid w:val="0051422E"/>
    <w:rsid w:val="00514243"/>
    <w:rsid w:val="00514627"/>
    <w:rsid w:val="0051489B"/>
    <w:rsid w:val="00514DE3"/>
    <w:rsid w:val="0051505E"/>
    <w:rsid w:val="00515E18"/>
    <w:rsid w:val="00516171"/>
    <w:rsid w:val="0051624C"/>
    <w:rsid w:val="005163C0"/>
    <w:rsid w:val="005167BA"/>
    <w:rsid w:val="005171E0"/>
    <w:rsid w:val="00517494"/>
    <w:rsid w:val="0052082A"/>
    <w:rsid w:val="0052096C"/>
    <w:rsid w:val="00521958"/>
    <w:rsid w:val="00521B58"/>
    <w:rsid w:val="00521F1C"/>
    <w:rsid w:val="0052205E"/>
    <w:rsid w:val="005221C2"/>
    <w:rsid w:val="00522EFF"/>
    <w:rsid w:val="0052365D"/>
    <w:rsid w:val="005239CB"/>
    <w:rsid w:val="005239FB"/>
    <w:rsid w:val="00523F37"/>
    <w:rsid w:val="005242B9"/>
    <w:rsid w:val="00524960"/>
    <w:rsid w:val="00524FA3"/>
    <w:rsid w:val="005260B2"/>
    <w:rsid w:val="005268B9"/>
    <w:rsid w:val="00526D13"/>
    <w:rsid w:val="00527418"/>
    <w:rsid w:val="00527450"/>
    <w:rsid w:val="00527CAE"/>
    <w:rsid w:val="00530D73"/>
    <w:rsid w:val="00530F53"/>
    <w:rsid w:val="005316DE"/>
    <w:rsid w:val="005319B4"/>
    <w:rsid w:val="005323FE"/>
    <w:rsid w:val="00532BE5"/>
    <w:rsid w:val="00532F1A"/>
    <w:rsid w:val="00533913"/>
    <w:rsid w:val="0053419C"/>
    <w:rsid w:val="00535034"/>
    <w:rsid w:val="00535959"/>
    <w:rsid w:val="00537936"/>
    <w:rsid w:val="00537CE4"/>
    <w:rsid w:val="00540123"/>
    <w:rsid w:val="005409AD"/>
    <w:rsid w:val="00540BFB"/>
    <w:rsid w:val="00541209"/>
    <w:rsid w:val="005417FC"/>
    <w:rsid w:val="005419B4"/>
    <w:rsid w:val="00541A01"/>
    <w:rsid w:val="00541DF7"/>
    <w:rsid w:val="005432C2"/>
    <w:rsid w:val="00543317"/>
    <w:rsid w:val="00543B47"/>
    <w:rsid w:val="005444CF"/>
    <w:rsid w:val="005446FC"/>
    <w:rsid w:val="00544908"/>
    <w:rsid w:val="00544BA9"/>
    <w:rsid w:val="005455ED"/>
    <w:rsid w:val="00545E2D"/>
    <w:rsid w:val="00546809"/>
    <w:rsid w:val="00547729"/>
    <w:rsid w:val="005477F5"/>
    <w:rsid w:val="00550A14"/>
    <w:rsid w:val="00551F16"/>
    <w:rsid w:val="00552060"/>
    <w:rsid w:val="005526D6"/>
    <w:rsid w:val="00552C5A"/>
    <w:rsid w:val="00552FBF"/>
    <w:rsid w:val="00553A27"/>
    <w:rsid w:val="005548D9"/>
    <w:rsid w:val="00554922"/>
    <w:rsid w:val="00554BF7"/>
    <w:rsid w:val="00554E4F"/>
    <w:rsid w:val="00554F07"/>
    <w:rsid w:val="00555B8C"/>
    <w:rsid w:val="00555C02"/>
    <w:rsid w:val="00555CE0"/>
    <w:rsid w:val="00555E47"/>
    <w:rsid w:val="00555EAE"/>
    <w:rsid w:val="00555F62"/>
    <w:rsid w:val="00556B3B"/>
    <w:rsid w:val="00556D8A"/>
    <w:rsid w:val="00556F39"/>
    <w:rsid w:val="00557173"/>
    <w:rsid w:val="00557318"/>
    <w:rsid w:val="00557570"/>
    <w:rsid w:val="00560534"/>
    <w:rsid w:val="005616E4"/>
    <w:rsid w:val="00561C1C"/>
    <w:rsid w:val="00561DAF"/>
    <w:rsid w:val="00562BEF"/>
    <w:rsid w:val="00563CFA"/>
    <w:rsid w:val="00563DEE"/>
    <w:rsid w:val="00564505"/>
    <w:rsid w:val="00564C6C"/>
    <w:rsid w:val="0056519E"/>
    <w:rsid w:val="00565A3B"/>
    <w:rsid w:val="0056691C"/>
    <w:rsid w:val="00566B76"/>
    <w:rsid w:val="00566CAC"/>
    <w:rsid w:val="00567286"/>
    <w:rsid w:val="00567335"/>
    <w:rsid w:val="005675C7"/>
    <w:rsid w:val="0056768A"/>
    <w:rsid w:val="00567736"/>
    <w:rsid w:val="0056788C"/>
    <w:rsid w:val="00567CC6"/>
    <w:rsid w:val="00570390"/>
    <w:rsid w:val="005716AF"/>
    <w:rsid w:val="005716D6"/>
    <w:rsid w:val="0057241B"/>
    <w:rsid w:val="00572564"/>
    <w:rsid w:val="005729F5"/>
    <w:rsid w:val="00572BD4"/>
    <w:rsid w:val="005736A9"/>
    <w:rsid w:val="005736CC"/>
    <w:rsid w:val="00573C01"/>
    <w:rsid w:val="005740FF"/>
    <w:rsid w:val="00574B2D"/>
    <w:rsid w:val="00575C62"/>
    <w:rsid w:val="005761B3"/>
    <w:rsid w:val="005762B1"/>
    <w:rsid w:val="00577276"/>
    <w:rsid w:val="00577441"/>
    <w:rsid w:val="00577841"/>
    <w:rsid w:val="00577ACA"/>
    <w:rsid w:val="00577D02"/>
    <w:rsid w:val="00577E54"/>
    <w:rsid w:val="005803DD"/>
    <w:rsid w:val="0058085D"/>
    <w:rsid w:val="005815ED"/>
    <w:rsid w:val="00581E68"/>
    <w:rsid w:val="00581F91"/>
    <w:rsid w:val="00582EAC"/>
    <w:rsid w:val="00583B3F"/>
    <w:rsid w:val="00583E24"/>
    <w:rsid w:val="00584164"/>
    <w:rsid w:val="00584F1B"/>
    <w:rsid w:val="00585457"/>
    <w:rsid w:val="00586570"/>
    <w:rsid w:val="00586643"/>
    <w:rsid w:val="00587527"/>
    <w:rsid w:val="00587767"/>
    <w:rsid w:val="00587CB2"/>
    <w:rsid w:val="0059045E"/>
    <w:rsid w:val="005908F5"/>
    <w:rsid w:val="00590AA9"/>
    <w:rsid w:val="00590D5C"/>
    <w:rsid w:val="00591006"/>
    <w:rsid w:val="00591FB6"/>
    <w:rsid w:val="00592294"/>
    <w:rsid w:val="00592799"/>
    <w:rsid w:val="0059310F"/>
    <w:rsid w:val="00593A56"/>
    <w:rsid w:val="00594FDA"/>
    <w:rsid w:val="00595111"/>
    <w:rsid w:val="00595557"/>
    <w:rsid w:val="00595FC9"/>
    <w:rsid w:val="00595FE9"/>
    <w:rsid w:val="00596212"/>
    <w:rsid w:val="00597114"/>
    <w:rsid w:val="005973B1"/>
    <w:rsid w:val="005A04A9"/>
    <w:rsid w:val="005A0755"/>
    <w:rsid w:val="005A114B"/>
    <w:rsid w:val="005A12F6"/>
    <w:rsid w:val="005A1341"/>
    <w:rsid w:val="005A1EB8"/>
    <w:rsid w:val="005A21BF"/>
    <w:rsid w:val="005A28E2"/>
    <w:rsid w:val="005A2F2D"/>
    <w:rsid w:val="005A3754"/>
    <w:rsid w:val="005A3C26"/>
    <w:rsid w:val="005A47AF"/>
    <w:rsid w:val="005A48C2"/>
    <w:rsid w:val="005A4A2D"/>
    <w:rsid w:val="005A4E95"/>
    <w:rsid w:val="005A62A3"/>
    <w:rsid w:val="005A76C6"/>
    <w:rsid w:val="005B060C"/>
    <w:rsid w:val="005B0C51"/>
    <w:rsid w:val="005B0D28"/>
    <w:rsid w:val="005B2198"/>
    <w:rsid w:val="005B22A9"/>
    <w:rsid w:val="005B30CE"/>
    <w:rsid w:val="005B3700"/>
    <w:rsid w:val="005B3D70"/>
    <w:rsid w:val="005B4068"/>
    <w:rsid w:val="005B53A1"/>
    <w:rsid w:val="005B54FE"/>
    <w:rsid w:val="005B61B4"/>
    <w:rsid w:val="005B629D"/>
    <w:rsid w:val="005B6C12"/>
    <w:rsid w:val="005B7909"/>
    <w:rsid w:val="005B7D10"/>
    <w:rsid w:val="005C04A7"/>
    <w:rsid w:val="005C06B8"/>
    <w:rsid w:val="005C0826"/>
    <w:rsid w:val="005C260F"/>
    <w:rsid w:val="005C307F"/>
    <w:rsid w:val="005C3EBE"/>
    <w:rsid w:val="005C45D4"/>
    <w:rsid w:val="005C51CB"/>
    <w:rsid w:val="005C559F"/>
    <w:rsid w:val="005C67D8"/>
    <w:rsid w:val="005C6A3D"/>
    <w:rsid w:val="005C6C93"/>
    <w:rsid w:val="005C6F1A"/>
    <w:rsid w:val="005C772F"/>
    <w:rsid w:val="005D0B80"/>
    <w:rsid w:val="005D1338"/>
    <w:rsid w:val="005D1768"/>
    <w:rsid w:val="005D20D8"/>
    <w:rsid w:val="005D26A1"/>
    <w:rsid w:val="005D40C2"/>
    <w:rsid w:val="005D4212"/>
    <w:rsid w:val="005D4F4F"/>
    <w:rsid w:val="005D5422"/>
    <w:rsid w:val="005D5673"/>
    <w:rsid w:val="005D5936"/>
    <w:rsid w:val="005D5C82"/>
    <w:rsid w:val="005D5F40"/>
    <w:rsid w:val="005E023C"/>
    <w:rsid w:val="005E03E3"/>
    <w:rsid w:val="005E1551"/>
    <w:rsid w:val="005E1F5C"/>
    <w:rsid w:val="005E209D"/>
    <w:rsid w:val="005E255B"/>
    <w:rsid w:val="005E3328"/>
    <w:rsid w:val="005E36C8"/>
    <w:rsid w:val="005E37D5"/>
    <w:rsid w:val="005E4C7E"/>
    <w:rsid w:val="005E513B"/>
    <w:rsid w:val="005E5C87"/>
    <w:rsid w:val="005E680E"/>
    <w:rsid w:val="005E6A2D"/>
    <w:rsid w:val="005E73CC"/>
    <w:rsid w:val="005F08E8"/>
    <w:rsid w:val="005F0FF7"/>
    <w:rsid w:val="005F11E3"/>
    <w:rsid w:val="005F19BC"/>
    <w:rsid w:val="005F2FA9"/>
    <w:rsid w:val="005F353B"/>
    <w:rsid w:val="005F3B5F"/>
    <w:rsid w:val="005F3CB0"/>
    <w:rsid w:val="005F3D1E"/>
    <w:rsid w:val="005F3EE9"/>
    <w:rsid w:val="005F3F31"/>
    <w:rsid w:val="005F40D9"/>
    <w:rsid w:val="005F4A19"/>
    <w:rsid w:val="005F4CD2"/>
    <w:rsid w:val="005F506B"/>
    <w:rsid w:val="005F51D4"/>
    <w:rsid w:val="005F593A"/>
    <w:rsid w:val="005F59CB"/>
    <w:rsid w:val="005F5A78"/>
    <w:rsid w:val="005F5D2E"/>
    <w:rsid w:val="005F5EEB"/>
    <w:rsid w:val="005F61C6"/>
    <w:rsid w:val="005F78C4"/>
    <w:rsid w:val="005F7EF8"/>
    <w:rsid w:val="0060047F"/>
    <w:rsid w:val="00600AFE"/>
    <w:rsid w:val="0060146B"/>
    <w:rsid w:val="00602246"/>
    <w:rsid w:val="00602642"/>
    <w:rsid w:val="006028C3"/>
    <w:rsid w:val="00602B64"/>
    <w:rsid w:val="00602DAC"/>
    <w:rsid w:val="0060348E"/>
    <w:rsid w:val="00603734"/>
    <w:rsid w:val="00603840"/>
    <w:rsid w:val="00603A0F"/>
    <w:rsid w:val="00604156"/>
    <w:rsid w:val="00605055"/>
    <w:rsid w:val="006050EA"/>
    <w:rsid w:val="00605224"/>
    <w:rsid w:val="00605292"/>
    <w:rsid w:val="006058BC"/>
    <w:rsid w:val="00605D85"/>
    <w:rsid w:val="00606A70"/>
    <w:rsid w:val="00606E41"/>
    <w:rsid w:val="006070F3"/>
    <w:rsid w:val="00607692"/>
    <w:rsid w:val="00607AD4"/>
    <w:rsid w:val="00607C9F"/>
    <w:rsid w:val="00610767"/>
    <w:rsid w:val="00612202"/>
    <w:rsid w:val="00612AF5"/>
    <w:rsid w:val="0061320F"/>
    <w:rsid w:val="00613745"/>
    <w:rsid w:val="00614097"/>
    <w:rsid w:val="0061454A"/>
    <w:rsid w:val="006149EE"/>
    <w:rsid w:val="0061548C"/>
    <w:rsid w:val="0061594C"/>
    <w:rsid w:val="0061606D"/>
    <w:rsid w:val="006160AA"/>
    <w:rsid w:val="00616978"/>
    <w:rsid w:val="00617BE9"/>
    <w:rsid w:val="00620D74"/>
    <w:rsid w:val="00621344"/>
    <w:rsid w:val="00621624"/>
    <w:rsid w:val="00621997"/>
    <w:rsid w:val="00621B6C"/>
    <w:rsid w:val="006228AD"/>
    <w:rsid w:val="00623859"/>
    <w:rsid w:val="006238B5"/>
    <w:rsid w:val="006246B1"/>
    <w:rsid w:val="00624C54"/>
    <w:rsid w:val="00624F76"/>
    <w:rsid w:val="006251F7"/>
    <w:rsid w:val="00625B1A"/>
    <w:rsid w:val="00625C51"/>
    <w:rsid w:val="006260C7"/>
    <w:rsid w:val="006266A1"/>
    <w:rsid w:val="00626D8A"/>
    <w:rsid w:val="00626F34"/>
    <w:rsid w:val="00627379"/>
    <w:rsid w:val="0062775D"/>
    <w:rsid w:val="00627BA3"/>
    <w:rsid w:val="00630007"/>
    <w:rsid w:val="00630611"/>
    <w:rsid w:val="00630897"/>
    <w:rsid w:val="0063171F"/>
    <w:rsid w:val="00631C4D"/>
    <w:rsid w:val="00632472"/>
    <w:rsid w:val="00632658"/>
    <w:rsid w:val="0063270F"/>
    <w:rsid w:val="00632B5D"/>
    <w:rsid w:val="00632F69"/>
    <w:rsid w:val="00633839"/>
    <w:rsid w:val="00633967"/>
    <w:rsid w:val="0063477B"/>
    <w:rsid w:val="00635765"/>
    <w:rsid w:val="00635BAC"/>
    <w:rsid w:val="00635F5E"/>
    <w:rsid w:val="00636A2E"/>
    <w:rsid w:val="00636B15"/>
    <w:rsid w:val="00637414"/>
    <w:rsid w:val="00637447"/>
    <w:rsid w:val="00637AF1"/>
    <w:rsid w:val="0063F8F3"/>
    <w:rsid w:val="006406D0"/>
    <w:rsid w:val="00641205"/>
    <w:rsid w:val="00641655"/>
    <w:rsid w:val="0064247C"/>
    <w:rsid w:val="006429A5"/>
    <w:rsid w:val="006437E2"/>
    <w:rsid w:val="006446F6"/>
    <w:rsid w:val="00644D64"/>
    <w:rsid w:val="00644EE0"/>
    <w:rsid w:val="00645D45"/>
    <w:rsid w:val="006461C5"/>
    <w:rsid w:val="00646495"/>
    <w:rsid w:val="00646638"/>
    <w:rsid w:val="006467BC"/>
    <w:rsid w:val="006469B1"/>
    <w:rsid w:val="00646E30"/>
    <w:rsid w:val="00646E38"/>
    <w:rsid w:val="00647019"/>
    <w:rsid w:val="00647411"/>
    <w:rsid w:val="00647525"/>
    <w:rsid w:val="00647EAB"/>
    <w:rsid w:val="006508C6"/>
    <w:rsid w:val="006514C3"/>
    <w:rsid w:val="00651704"/>
    <w:rsid w:val="00652642"/>
    <w:rsid w:val="0065321A"/>
    <w:rsid w:val="0065330D"/>
    <w:rsid w:val="00654528"/>
    <w:rsid w:val="006549A1"/>
    <w:rsid w:val="00654E21"/>
    <w:rsid w:val="006550BB"/>
    <w:rsid w:val="00656289"/>
    <w:rsid w:val="0065675E"/>
    <w:rsid w:val="00656C2C"/>
    <w:rsid w:val="006608D0"/>
    <w:rsid w:val="00660B06"/>
    <w:rsid w:val="00660BAE"/>
    <w:rsid w:val="006624AE"/>
    <w:rsid w:val="0066286E"/>
    <w:rsid w:val="006628F0"/>
    <w:rsid w:val="00662952"/>
    <w:rsid w:val="006629DA"/>
    <w:rsid w:val="00662FAC"/>
    <w:rsid w:val="00663965"/>
    <w:rsid w:val="00663C42"/>
    <w:rsid w:val="00663D1A"/>
    <w:rsid w:val="0066426C"/>
    <w:rsid w:val="00664FB9"/>
    <w:rsid w:val="006654D4"/>
    <w:rsid w:val="00665D47"/>
    <w:rsid w:val="00665EE9"/>
    <w:rsid w:val="006661DA"/>
    <w:rsid w:val="00667CEB"/>
    <w:rsid w:val="006702E3"/>
    <w:rsid w:val="0067110B"/>
    <w:rsid w:val="00671203"/>
    <w:rsid w:val="00671E20"/>
    <w:rsid w:val="006731D8"/>
    <w:rsid w:val="006740C4"/>
    <w:rsid w:val="006741FE"/>
    <w:rsid w:val="006754BB"/>
    <w:rsid w:val="00675E11"/>
    <w:rsid w:val="00675FFD"/>
    <w:rsid w:val="00676057"/>
    <w:rsid w:val="00676EF7"/>
    <w:rsid w:val="00677C20"/>
    <w:rsid w:val="00677ECB"/>
    <w:rsid w:val="00680443"/>
    <w:rsid w:val="006805B0"/>
    <w:rsid w:val="00680A7B"/>
    <w:rsid w:val="00680DE1"/>
    <w:rsid w:val="00680F3B"/>
    <w:rsid w:val="00681845"/>
    <w:rsid w:val="006819F5"/>
    <w:rsid w:val="00682A61"/>
    <w:rsid w:val="00682D21"/>
    <w:rsid w:val="00683702"/>
    <w:rsid w:val="00683C11"/>
    <w:rsid w:val="00683EC3"/>
    <w:rsid w:val="0068443A"/>
    <w:rsid w:val="006847E1"/>
    <w:rsid w:val="00684AE3"/>
    <w:rsid w:val="00684B5B"/>
    <w:rsid w:val="00684D17"/>
    <w:rsid w:val="00686801"/>
    <w:rsid w:val="006874AD"/>
    <w:rsid w:val="00687C48"/>
    <w:rsid w:val="006903F7"/>
    <w:rsid w:val="00690A73"/>
    <w:rsid w:val="0069137E"/>
    <w:rsid w:val="00691DEF"/>
    <w:rsid w:val="006923B9"/>
    <w:rsid w:val="0069293F"/>
    <w:rsid w:val="00692A11"/>
    <w:rsid w:val="0069347E"/>
    <w:rsid w:val="006935EA"/>
    <w:rsid w:val="006939F4"/>
    <w:rsid w:val="00694136"/>
    <w:rsid w:val="006945A9"/>
    <w:rsid w:val="00694857"/>
    <w:rsid w:val="006949DC"/>
    <w:rsid w:val="006955A6"/>
    <w:rsid w:val="006958DE"/>
    <w:rsid w:val="006962CF"/>
    <w:rsid w:val="00696404"/>
    <w:rsid w:val="0069680F"/>
    <w:rsid w:val="006969CF"/>
    <w:rsid w:val="0069780F"/>
    <w:rsid w:val="00697A51"/>
    <w:rsid w:val="00697C38"/>
    <w:rsid w:val="00697D68"/>
    <w:rsid w:val="00697FC6"/>
    <w:rsid w:val="006A0556"/>
    <w:rsid w:val="006A0635"/>
    <w:rsid w:val="006A0A53"/>
    <w:rsid w:val="006A0A6A"/>
    <w:rsid w:val="006A0B75"/>
    <w:rsid w:val="006A0EFD"/>
    <w:rsid w:val="006A108C"/>
    <w:rsid w:val="006A2080"/>
    <w:rsid w:val="006A3058"/>
    <w:rsid w:val="006A36F7"/>
    <w:rsid w:val="006A3E73"/>
    <w:rsid w:val="006A5C6B"/>
    <w:rsid w:val="006A5D82"/>
    <w:rsid w:val="006A61BA"/>
    <w:rsid w:val="006A6AFC"/>
    <w:rsid w:val="006A6F6D"/>
    <w:rsid w:val="006A6F75"/>
    <w:rsid w:val="006A7018"/>
    <w:rsid w:val="006B0134"/>
    <w:rsid w:val="006B0B7C"/>
    <w:rsid w:val="006B0B9E"/>
    <w:rsid w:val="006B1735"/>
    <w:rsid w:val="006B178C"/>
    <w:rsid w:val="006B21A4"/>
    <w:rsid w:val="006B4312"/>
    <w:rsid w:val="006B4911"/>
    <w:rsid w:val="006B4C21"/>
    <w:rsid w:val="006B4F3E"/>
    <w:rsid w:val="006B4FC4"/>
    <w:rsid w:val="006B5873"/>
    <w:rsid w:val="006B6061"/>
    <w:rsid w:val="006B6711"/>
    <w:rsid w:val="006B6A06"/>
    <w:rsid w:val="006B6B3F"/>
    <w:rsid w:val="006B6E4A"/>
    <w:rsid w:val="006B6F60"/>
    <w:rsid w:val="006B715F"/>
    <w:rsid w:val="006B749B"/>
    <w:rsid w:val="006B7731"/>
    <w:rsid w:val="006B7B22"/>
    <w:rsid w:val="006C12E7"/>
    <w:rsid w:val="006C1659"/>
    <w:rsid w:val="006C1D03"/>
    <w:rsid w:val="006C2284"/>
    <w:rsid w:val="006C2515"/>
    <w:rsid w:val="006C2A01"/>
    <w:rsid w:val="006C328C"/>
    <w:rsid w:val="006C3307"/>
    <w:rsid w:val="006C35DE"/>
    <w:rsid w:val="006C4D1E"/>
    <w:rsid w:val="006C4D7C"/>
    <w:rsid w:val="006C5244"/>
    <w:rsid w:val="006C5304"/>
    <w:rsid w:val="006C5348"/>
    <w:rsid w:val="006C5663"/>
    <w:rsid w:val="006C5BA8"/>
    <w:rsid w:val="006C60F0"/>
    <w:rsid w:val="006C6B0F"/>
    <w:rsid w:val="006C717E"/>
    <w:rsid w:val="006C7950"/>
    <w:rsid w:val="006D04E3"/>
    <w:rsid w:val="006D0AA7"/>
    <w:rsid w:val="006D0F8B"/>
    <w:rsid w:val="006D12D5"/>
    <w:rsid w:val="006D1995"/>
    <w:rsid w:val="006D1CC1"/>
    <w:rsid w:val="006D23DD"/>
    <w:rsid w:val="006D360C"/>
    <w:rsid w:val="006D3979"/>
    <w:rsid w:val="006D4B66"/>
    <w:rsid w:val="006D4EA7"/>
    <w:rsid w:val="006D554C"/>
    <w:rsid w:val="006D5957"/>
    <w:rsid w:val="006D5BD4"/>
    <w:rsid w:val="006D5D75"/>
    <w:rsid w:val="006D5E12"/>
    <w:rsid w:val="006D5EA3"/>
    <w:rsid w:val="006D6543"/>
    <w:rsid w:val="006D6F4F"/>
    <w:rsid w:val="006D71CE"/>
    <w:rsid w:val="006D760F"/>
    <w:rsid w:val="006D7748"/>
    <w:rsid w:val="006E0987"/>
    <w:rsid w:val="006E1A60"/>
    <w:rsid w:val="006E23A3"/>
    <w:rsid w:val="006E25DF"/>
    <w:rsid w:val="006E267A"/>
    <w:rsid w:val="006E32AE"/>
    <w:rsid w:val="006E468C"/>
    <w:rsid w:val="006E4DE8"/>
    <w:rsid w:val="006E4E64"/>
    <w:rsid w:val="006E52EC"/>
    <w:rsid w:val="006E532A"/>
    <w:rsid w:val="006E5FC5"/>
    <w:rsid w:val="006E6331"/>
    <w:rsid w:val="006E645E"/>
    <w:rsid w:val="006E6E1D"/>
    <w:rsid w:val="006E721D"/>
    <w:rsid w:val="006E756A"/>
    <w:rsid w:val="006E7789"/>
    <w:rsid w:val="006E79A8"/>
    <w:rsid w:val="006E7CD5"/>
    <w:rsid w:val="006E7F06"/>
    <w:rsid w:val="006F07B2"/>
    <w:rsid w:val="006F0AD4"/>
    <w:rsid w:val="006F0B21"/>
    <w:rsid w:val="006F1301"/>
    <w:rsid w:val="006F2CCB"/>
    <w:rsid w:val="006F3683"/>
    <w:rsid w:val="006F3D2A"/>
    <w:rsid w:val="006F40D3"/>
    <w:rsid w:val="006F4F64"/>
    <w:rsid w:val="006F52AB"/>
    <w:rsid w:val="006F552B"/>
    <w:rsid w:val="006F62C5"/>
    <w:rsid w:val="006F6FDB"/>
    <w:rsid w:val="006F7B8F"/>
    <w:rsid w:val="006F7BFA"/>
    <w:rsid w:val="0070028D"/>
    <w:rsid w:val="0070029F"/>
    <w:rsid w:val="0070030F"/>
    <w:rsid w:val="00700CE3"/>
    <w:rsid w:val="007011D9"/>
    <w:rsid w:val="00702A0A"/>
    <w:rsid w:val="00702C93"/>
    <w:rsid w:val="00702D68"/>
    <w:rsid w:val="00702D93"/>
    <w:rsid w:val="00704115"/>
    <w:rsid w:val="00705198"/>
    <w:rsid w:val="007053AC"/>
    <w:rsid w:val="00705452"/>
    <w:rsid w:val="00706004"/>
    <w:rsid w:val="0070631C"/>
    <w:rsid w:val="007073AF"/>
    <w:rsid w:val="00707426"/>
    <w:rsid w:val="00707B51"/>
    <w:rsid w:val="00707D5F"/>
    <w:rsid w:val="00710099"/>
    <w:rsid w:val="007109FD"/>
    <w:rsid w:val="00710BE7"/>
    <w:rsid w:val="00711714"/>
    <w:rsid w:val="00711CF3"/>
    <w:rsid w:val="00711DCA"/>
    <w:rsid w:val="007123C4"/>
    <w:rsid w:val="00712B0D"/>
    <w:rsid w:val="00712C74"/>
    <w:rsid w:val="00713088"/>
    <w:rsid w:val="007133DE"/>
    <w:rsid w:val="0071428C"/>
    <w:rsid w:val="00714C0D"/>
    <w:rsid w:val="00714CEE"/>
    <w:rsid w:val="00714ECF"/>
    <w:rsid w:val="0071534D"/>
    <w:rsid w:val="0071608E"/>
    <w:rsid w:val="00716558"/>
    <w:rsid w:val="00716BA7"/>
    <w:rsid w:val="00716CAE"/>
    <w:rsid w:val="00720E81"/>
    <w:rsid w:val="007210E0"/>
    <w:rsid w:val="007214D6"/>
    <w:rsid w:val="00721B9E"/>
    <w:rsid w:val="007223DF"/>
    <w:rsid w:val="007234E6"/>
    <w:rsid w:val="00723A13"/>
    <w:rsid w:val="007248BD"/>
    <w:rsid w:val="0072494D"/>
    <w:rsid w:val="00724A9B"/>
    <w:rsid w:val="0072555E"/>
    <w:rsid w:val="007256A0"/>
    <w:rsid w:val="00725F20"/>
    <w:rsid w:val="007260C6"/>
    <w:rsid w:val="00726C15"/>
    <w:rsid w:val="0072781D"/>
    <w:rsid w:val="00727DB4"/>
    <w:rsid w:val="00730EBD"/>
    <w:rsid w:val="00730FE1"/>
    <w:rsid w:val="00731813"/>
    <w:rsid w:val="0073190D"/>
    <w:rsid w:val="00731B39"/>
    <w:rsid w:val="0073249F"/>
    <w:rsid w:val="007326DD"/>
    <w:rsid w:val="00732E25"/>
    <w:rsid w:val="0073368F"/>
    <w:rsid w:val="0073384A"/>
    <w:rsid w:val="00733881"/>
    <w:rsid w:val="00734996"/>
    <w:rsid w:val="00735116"/>
    <w:rsid w:val="0073536F"/>
    <w:rsid w:val="007353D0"/>
    <w:rsid w:val="00735F57"/>
    <w:rsid w:val="00736E0D"/>
    <w:rsid w:val="00737502"/>
    <w:rsid w:val="00737522"/>
    <w:rsid w:val="00737636"/>
    <w:rsid w:val="00737CEA"/>
    <w:rsid w:val="00737D83"/>
    <w:rsid w:val="00740032"/>
    <w:rsid w:val="00740121"/>
    <w:rsid w:val="00740445"/>
    <w:rsid w:val="00741624"/>
    <w:rsid w:val="00741D43"/>
    <w:rsid w:val="00742A74"/>
    <w:rsid w:val="00742B20"/>
    <w:rsid w:val="007437F5"/>
    <w:rsid w:val="00744FC1"/>
    <w:rsid w:val="00746A6A"/>
    <w:rsid w:val="00746A83"/>
    <w:rsid w:val="00746A84"/>
    <w:rsid w:val="00746D6C"/>
    <w:rsid w:val="00746E5E"/>
    <w:rsid w:val="00747D65"/>
    <w:rsid w:val="0075059C"/>
    <w:rsid w:val="00751261"/>
    <w:rsid w:val="00751793"/>
    <w:rsid w:val="007520F8"/>
    <w:rsid w:val="007522F6"/>
    <w:rsid w:val="00752ADB"/>
    <w:rsid w:val="00752FC9"/>
    <w:rsid w:val="00754ABD"/>
    <w:rsid w:val="00754C30"/>
    <w:rsid w:val="007552B2"/>
    <w:rsid w:val="00755BDD"/>
    <w:rsid w:val="00755E02"/>
    <w:rsid w:val="00755F3C"/>
    <w:rsid w:val="007564E0"/>
    <w:rsid w:val="00756942"/>
    <w:rsid w:val="00757A2A"/>
    <w:rsid w:val="00760B67"/>
    <w:rsid w:val="007611AA"/>
    <w:rsid w:val="00761263"/>
    <w:rsid w:val="00761CA1"/>
    <w:rsid w:val="00762E25"/>
    <w:rsid w:val="007635C4"/>
    <w:rsid w:val="00763B36"/>
    <w:rsid w:val="0076438A"/>
    <w:rsid w:val="00764475"/>
    <w:rsid w:val="007650AC"/>
    <w:rsid w:val="00765316"/>
    <w:rsid w:val="00765974"/>
    <w:rsid w:val="00765B40"/>
    <w:rsid w:val="00766141"/>
    <w:rsid w:val="007668C3"/>
    <w:rsid w:val="0076690B"/>
    <w:rsid w:val="00766B0A"/>
    <w:rsid w:val="007670EE"/>
    <w:rsid w:val="007675BD"/>
    <w:rsid w:val="0077138C"/>
    <w:rsid w:val="00772898"/>
    <w:rsid w:val="007738AD"/>
    <w:rsid w:val="00773BEF"/>
    <w:rsid w:val="00774794"/>
    <w:rsid w:val="00775429"/>
    <w:rsid w:val="007757AD"/>
    <w:rsid w:val="00776409"/>
    <w:rsid w:val="0077667A"/>
    <w:rsid w:val="007771BF"/>
    <w:rsid w:val="0078034B"/>
    <w:rsid w:val="007803D1"/>
    <w:rsid w:val="007807F0"/>
    <w:rsid w:val="00781046"/>
    <w:rsid w:val="00781259"/>
    <w:rsid w:val="0078189F"/>
    <w:rsid w:val="00781CD7"/>
    <w:rsid w:val="007820BB"/>
    <w:rsid w:val="0078271B"/>
    <w:rsid w:val="00783A56"/>
    <w:rsid w:val="0078466A"/>
    <w:rsid w:val="00785982"/>
    <w:rsid w:val="007868EF"/>
    <w:rsid w:val="00786914"/>
    <w:rsid w:val="007878AC"/>
    <w:rsid w:val="00787F4B"/>
    <w:rsid w:val="007900E9"/>
    <w:rsid w:val="00790577"/>
    <w:rsid w:val="007913C2"/>
    <w:rsid w:val="007918B8"/>
    <w:rsid w:val="00791FA0"/>
    <w:rsid w:val="00792396"/>
    <w:rsid w:val="00792A54"/>
    <w:rsid w:val="0079316C"/>
    <w:rsid w:val="007940F6"/>
    <w:rsid w:val="0079419C"/>
    <w:rsid w:val="00794229"/>
    <w:rsid w:val="00794642"/>
    <w:rsid w:val="007946DA"/>
    <w:rsid w:val="0079480D"/>
    <w:rsid w:val="00794D41"/>
    <w:rsid w:val="00794EC4"/>
    <w:rsid w:val="00796A2F"/>
    <w:rsid w:val="00796CF1"/>
    <w:rsid w:val="00797410"/>
    <w:rsid w:val="007975CE"/>
    <w:rsid w:val="00797618"/>
    <w:rsid w:val="00797DD5"/>
    <w:rsid w:val="00797F88"/>
    <w:rsid w:val="007A00A5"/>
    <w:rsid w:val="007A1049"/>
    <w:rsid w:val="007A1388"/>
    <w:rsid w:val="007A2EE4"/>
    <w:rsid w:val="007A3A8A"/>
    <w:rsid w:val="007A3B97"/>
    <w:rsid w:val="007A3C31"/>
    <w:rsid w:val="007A3F44"/>
    <w:rsid w:val="007A43B4"/>
    <w:rsid w:val="007A46C9"/>
    <w:rsid w:val="007A47FD"/>
    <w:rsid w:val="007A4EE0"/>
    <w:rsid w:val="007A50E8"/>
    <w:rsid w:val="007A53B4"/>
    <w:rsid w:val="007A55B8"/>
    <w:rsid w:val="007A5A63"/>
    <w:rsid w:val="007A6E11"/>
    <w:rsid w:val="007A7205"/>
    <w:rsid w:val="007B035F"/>
    <w:rsid w:val="007B0707"/>
    <w:rsid w:val="007B0ACD"/>
    <w:rsid w:val="007B127C"/>
    <w:rsid w:val="007B18E5"/>
    <w:rsid w:val="007B20F8"/>
    <w:rsid w:val="007B241E"/>
    <w:rsid w:val="007B241F"/>
    <w:rsid w:val="007B2549"/>
    <w:rsid w:val="007B291E"/>
    <w:rsid w:val="007B3DF8"/>
    <w:rsid w:val="007B45C0"/>
    <w:rsid w:val="007B4812"/>
    <w:rsid w:val="007B5E20"/>
    <w:rsid w:val="007B6E2A"/>
    <w:rsid w:val="007B7798"/>
    <w:rsid w:val="007B7A0A"/>
    <w:rsid w:val="007B7D2C"/>
    <w:rsid w:val="007B7E7E"/>
    <w:rsid w:val="007C00C7"/>
    <w:rsid w:val="007C1106"/>
    <w:rsid w:val="007C12E1"/>
    <w:rsid w:val="007C1923"/>
    <w:rsid w:val="007C2733"/>
    <w:rsid w:val="007C39C9"/>
    <w:rsid w:val="007C4081"/>
    <w:rsid w:val="007C4658"/>
    <w:rsid w:val="007C4A2C"/>
    <w:rsid w:val="007C4F39"/>
    <w:rsid w:val="007C5D1C"/>
    <w:rsid w:val="007C65E2"/>
    <w:rsid w:val="007C68C2"/>
    <w:rsid w:val="007C6AD6"/>
    <w:rsid w:val="007C7054"/>
    <w:rsid w:val="007C7315"/>
    <w:rsid w:val="007C7358"/>
    <w:rsid w:val="007C7B1D"/>
    <w:rsid w:val="007C7D1B"/>
    <w:rsid w:val="007D0A52"/>
    <w:rsid w:val="007D0DFD"/>
    <w:rsid w:val="007D2ED9"/>
    <w:rsid w:val="007D3214"/>
    <w:rsid w:val="007D42E2"/>
    <w:rsid w:val="007D4A5B"/>
    <w:rsid w:val="007D5917"/>
    <w:rsid w:val="007D5E6F"/>
    <w:rsid w:val="007D64E3"/>
    <w:rsid w:val="007D7808"/>
    <w:rsid w:val="007D7D38"/>
    <w:rsid w:val="007E052B"/>
    <w:rsid w:val="007E0969"/>
    <w:rsid w:val="007E1368"/>
    <w:rsid w:val="007E151D"/>
    <w:rsid w:val="007E1A78"/>
    <w:rsid w:val="007E25C3"/>
    <w:rsid w:val="007E2644"/>
    <w:rsid w:val="007E29DA"/>
    <w:rsid w:val="007E3985"/>
    <w:rsid w:val="007E3DC6"/>
    <w:rsid w:val="007E570B"/>
    <w:rsid w:val="007E641B"/>
    <w:rsid w:val="007E65B1"/>
    <w:rsid w:val="007E6AE0"/>
    <w:rsid w:val="007E6E95"/>
    <w:rsid w:val="007E7268"/>
    <w:rsid w:val="007E7B7C"/>
    <w:rsid w:val="007E7EB7"/>
    <w:rsid w:val="007F103D"/>
    <w:rsid w:val="007F1B85"/>
    <w:rsid w:val="007F1FB5"/>
    <w:rsid w:val="007F20B7"/>
    <w:rsid w:val="007F34D1"/>
    <w:rsid w:val="007F3BD4"/>
    <w:rsid w:val="007F580A"/>
    <w:rsid w:val="007F58F8"/>
    <w:rsid w:val="007F5B33"/>
    <w:rsid w:val="007F5EE5"/>
    <w:rsid w:val="007F60F6"/>
    <w:rsid w:val="007F6DDB"/>
    <w:rsid w:val="007F735D"/>
    <w:rsid w:val="007F7517"/>
    <w:rsid w:val="00800246"/>
    <w:rsid w:val="008002CD"/>
    <w:rsid w:val="00800419"/>
    <w:rsid w:val="00801065"/>
    <w:rsid w:val="00801283"/>
    <w:rsid w:val="0080138B"/>
    <w:rsid w:val="00802520"/>
    <w:rsid w:val="00803383"/>
    <w:rsid w:val="00803743"/>
    <w:rsid w:val="00803942"/>
    <w:rsid w:val="00803F7D"/>
    <w:rsid w:val="00804501"/>
    <w:rsid w:val="00804772"/>
    <w:rsid w:val="00804F8D"/>
    <w:rsid w:val="0080507B"/>
    <w:rsid w:val="00805767"/>
    <w:rsid w:val="00805AF0"/>
    <w:rsid w:val="00805C68"/>
    <w:rsid w:val="00806EDA"/>
    <w:rsid w:val="00807C32"/>
    <w:rsid w:val="00807E4B"/>
    <w:rsid w:val="0081090D"/>
    <w:rsid w:val="00810A47"/>
    <w:rsid w:val="00811247"/>
    <w:rsid w:val="00811563"/>
    <w:rsid w:val="008116D3"/>
    <w:rsid w:val="00811741"/>
    <w:rsid w:val="00811E85"/>
    <w:rsid w:val="0081233C"/>
    <w:rsid w:val="00812A1D"/>
    <w:rsid w:val="0081313B"/>
    <w:rsid w:val="00813420"/>
    <w:rsid w:val="00813727"/>
    <w:rsid w:val="008138E5"/>
    <w:rsid w:val="00813A3A"/>
    <w:rsid w:val="00813B3C"/>
    <w:rsid w:val="00814A89"/>
    <w:rsid w:val="00814D37"/>
    <w:rsid w:val="00816586"/>
    <w:rsid w:val="00816692"/>
    <w:rsid w:val="00816A32"/>
    <w:rsid w:val="00816D21"/>
    <w:rsid w:val="00816E13"/>
    <w:rsid w:val="008175E6"/>
    <w:rsid w:val="00817811"/>
    <w:rsid w:val="00820A43"/>
    <w:rsid w:val="00820F19"/>
    <w:rsid w:val="00821073"/>
    <w:rsid w:val="00821DAA"/>
    <w:rsid w:val="00821ECC"/>
    <w:rsid w:val="00821F12"/>
    <w:rsid w:val="00822445"/>
    <w:rsid w:val="00822947"/>
    <w:rsid w:val="00822AC0"/>
    <w:rsid w:val="00823690"/>
    <w:rsid w:val="008239D2"/>
    <w:rsid w:val="008244F3"/>
    <w:rsid w:val="00824E66"/>
    <w:rsid w:val="0082543C"/>
    <w:rsid w:val="00825657"/>
    <w:rsid w:val="008260CC"/>
    <w:rsid w:val="0082631F"/>
    <w:rsid w:val="00826384"/>
    <w:rsid w:val="0082664A"/>
    <w:rsid w:val="00826B56"/>
    <w:rsid w:val="00826BD0"/>
    <w:rsid w:val="00826F3C"/>
    <w:rsid w:val="0082734C"/>
    <w:rsid w:val="00827824"/>
    <w:rsid w:val="008301E1"/>
    <w:rsid w:val="008309E0"/>
    <w:rsid w:val="00830DD6"/>
    <w:rsid w:val="008311AC"/>
    <w:rsid w:val="008314D6"/>
    <w:rsid w:val="0083210A"/>
    <w:rsid w:val="00833412"/>
    <w:rsid w:val="008344ED"/>
    <w:rsid w:val="00834CA0"/>
    <w:rsid w:val="00834E1F"/>
    <w:rsid w:val="00835B7F"/>
    <w:rsid w:val="00835FBE"/>
    <w:rsid w:val="0083D60C"/>
    <w:rsid w:val="0084085C"/>
    <w:rsid w:val="00840FA7"/>
    <w:rsid w:val="008423A9"/>
    <w:rsid w:val="0084286C"/>
    <w:rsid w:val="00842C6A"/>
    <w:rsid w:val="00843C17"/>
    <w:rsid w:val="00843CCB"/>
    <w:rsid w:val="00844D4E"/>
    <w:rsid w:val="008455BD"/>
    <w:rsid w:val="008457CC"/>
    <w:rsid w:val="00845BB3"/>
    <w:rsid w:val="00845BDA"/>
    <w:rsid w:val="0084604F"/>
    <w:rsid w:val="00846973"/>
    <w:rsid w:val="008469C7"/>
    <w:rsid w:val="0084787F"/>
    <w:rsid w:val="0085000A"/>
    <w:rsid w:val="008500F7"/>
    <w:rsid w:val="008504E3"/>
    <w:rsid w:val="0085142E"/>
    <w:rsid w:val="00851CD7"/>
    <w:rsid w:val="00851DDF"/>
    <w:rsid w:val="00852299"/>
    <w:rsid w:val="008531C3"/>
    <w:rsid w:val="00853456"/>
    <w:rsid w:val="00853716"/>
    <w:rsid w:val="00853FE9"/>
    <w:rsid w:val="0085434E"/>
    <w:rsid w:val="008543F6"/>
    <w:rsid w:val="0085503C"/>
    <w:rsid w:val="00855287"/>
    <w:rsid w:val="00855B76"/>
    <w:rsid w:val="00856185"/>
    <w:rsid w:val="008563CD"/>
    <w:rsid w:val="00856FE8"/>
    <w:rsid w:val="008576A5"/>
    <w:rsid w:val="00857C6D"/>
    <w:rsid w:val="00857FEC"/>
    <w:rsid w:val="00860CA2"/>
    <w:rsid w:val="00861E6C"/>
    <w:rsid w:val="00861EC1"/>
    <w:rsid w:val="00862DB0"/>
    <w:rsid w:val="00863908"/>
    <w:rsid w:val="00863940"/>
    <w:rsid w:val="00864374"/>
    <w:rsid w:val="008653F4"/>
    <w:rsid w:val="00865C59"/>
    <w:rsid w:val="00865DE2"/>
    <w:rsid w:val="00865FC7"/>
    <w:rsid w:val="0086683F"/>
    <w:rsid w:val="00866C6D"/>
    <w:rsid w:val="00867623"/>
    <w:rsid w:val="0086790B"/>
    <w:rsid w:val="00867BFB"/>
    <w:rsid w:val="00870612"/>
    <w:rsid w:val="008708BD"/>
    <w:rsid w:val="0087136E"/>
    <w:rsid w:val="00871AD1"/>
    <w:rsid w:val="008721F2"/>
    <w:rsid w:val="008722F4"/>
    <w:rsid w:val="00872405"/>
    <w:rsid w:val="0087281C"/>
    <w:rsid w:val="00872CF5"/>
    <w:rsid w:val="00872D1A"/>
    <w:rsid w:val="00872E24"/>
    <w:rsid w:val="0087319E"/>
    <w:rsid w:val="00873813"/>
    <w:rsid w:val="00873B14"/>
    <w:rsid w:val="008740BF"/>
    <w:rsid w:val="00874270"/>
    <w:rsid w:val="008749F4"/>
    <w:rsid w:val="0087523B"/>
    <w:rsid w:val="00875DAD"/>
    <w:rsid w:val="00876002"/>
    <w:rsid w:val="008766F6"/>
    <w:rsid w:val="00876AE7"/>
    <w:rsid w:val="0087765F"/>
    <w:rsid w:val="00880B81"/>
    <w:rsid w:val="00880D3F"/>
    <w:rsid w:val="00880E77"/>
    <w:rsid w:val="00881927"/>
    <w:rsid w:val="00882458"/>
    <w:rsid w:val="008826B1"/>
    <w:rsid w:val="00882EC9"/>
    <w:rsid w:val="00884CBB"/>
    <w:rsid w:val="00884CF7"/>
    <w:rsid w:val="00885C6A"/>
    <w:rsid w:val="00885F6C"/>
    <w:rsid w:val="008861D3"/>
    <w:rsid w:val="0088683B"/>
    <w:rsid w:val="00886C92"/>
    <w:rsid w:val="008872E7"/>
    <w:rsid w:val="0088768E"/>
    <w:rsid w:val="00887B77"/>
    <w:rsid w:val="00890578"/>
    <w:rsid w:val="00890F1F"/>
    <w:rsid w:val="00890FB0"/>
    <w:rsid w:val="00891E88"/>
    <w:rsid w:val="00892B7E"/>
    <w:rsid w:val="00892DB9"/>
    <w:rsid w:val="00893193"/>
    <w:rsid w:val="00894553"/>
    <w:rsid w:val="00894CDC"/>
    <w:rsid w:val="00894E68"/>
    <w:rsid w:val="0089564A"/>
    <w:rsid w:val="0089632E"/>
    <w:rsid w:val="00896666"/>
    <w:rsid w:val="008966AC"/>
    <w:rsid w:val="00896904"/>
    <w:rsid w:val="00896AA7"/>
    <w:rsid w:val="00896ACB"/>
    <w:rsid w:val="00897B48"/>
    <w:rsid w:val="008A02EE"/>
    <w:rsid w:val="008A0622"/>
    <w:rsid w:val="008A0953"/>
    <w:rsid w:val="008A15C0"/>
    <w:rsid w:val="008A2618"/>
    <w:rsid w:val="008A2A61"/>
    <w:rsid w:val="008A362F"/>
    <w:rsid w:val="008A3A99"/>
    <w:rsid w:val="008A3D0A"/>
    <w:rsid w:val="008A41ED"/>
    <w:rsid w:val="008A4D93"/>
    <w:rsid w:val="008A4FE8"/>
    <w:rsid w:val="008A5852"/>
    <w:rsid w:val="008A609C"/>
    <w:rsid w:val="008A66B8"/>
    <w:rsid w:val="008A72FE"/>
    <w:rsid w:val="008A759B"/>
    <w:rsid w:val="008A77BD"/>
    <w:rsid w:val="008B05A7"/>
    <w:rsid w:val="008B0621"/>
    <w:rsid w:val="008B0A38"/>
    <w:rsid w:val="008B0CDD"/>
    <w:rsid w:val="008B2486"/>
    <w:rsid w:val="008B273D"/>
    <w:rsid w:val="008B374F"/>
    <w:rsid w:val="008B3FDE"/>
    <w:rsid w:val="008B4739"/>
    <w:rsid w:val="008B48A5"/>
    <w:rsid w:val="008B4DE3"/>
    <w:rsid w:val="008B4E11"/>
    <w:rsid w:val="008B5247"/>
    <w:rsid w:val="008B59E6"/>
    <w:rsid w:val="008B5D26"/>
    <w:rsid w:val="008B5FBF"/>
    <w:rsid w:val="008B6B83"/>
    <w:rsid w:val="008B7032"/>
    <w:rsid w:val="008C0E18"/>
    <w:rsid w:val="008C1E3D"/>
    <w:rsid w:val="008C2837"/>
    <w:rsid w:val="008C2AFA"/>
    <w:rsid w:val="008C345E"/>
    <w:rsid w:val="008C41EB"/>
    <w:rsid w:val="008C46C1"/>
    <w:rsid w:val="008C4F7A"/>
    <w:rsid w:val="008C54D0"/>
    <w:rsid w:val="008C561F"/>
    <w:rsid w:val="008C598F"/>
    <w:rsid w:val="008C682C"/>
    <w:rsid w:val="008C689F"/>
    <w:rsid w:val="008C6B18"/>
    <w:rsid w:val="008C7FD5"/>
    <w:rsid w:val="008D00CB"/>
    <w:rsid w:val="008D02D9"/>
    <w:rsid w:val="008D06B7"/>
    <w:rsid w:val="008D2A05"/>
    <w:rsid w:val="008D2C4D"/>
    <w:rsid w:val="008D2D5E"/>
    <w:rsid w:val="008D3A7E"/>
    <w:rsid w:val="008D3B18"/>
    <w:rsid w:val="008D3C46"/>
    <w:rsid w:val="008D4147"/>
    <w:rsid w:val="008D414F"/>
    <w:rsid w:val="008D4BAD"/>
    <w:rsid w:val="008D4EA3"/>
    <w:rsid w:val="008D5ACC"/>
    <w:rsid w:val="008D5D40"/>
    <w:rsid w:val="008D6439"/>
    <w:rsid w:val="008D6E93"/>
    <w:rsid w:val="008D77F2"/>
    <w:rsid w:val="008D7B17"/>
    <w:rsid w:val="008D7F5C"/>
    <w:rsid w:val="008E0480"/>
    <w:rsid w:val="008E128B"/>
    <w:rsid w:val="008E1D1F"/>
    <w:rsid w:val="008E1E94"/>
    <w:rsid w:val="008E2158"/>
    <w:rsid w:val="008E2F89"/>
    <w:rsid w:val="008E3466"/>
    <w:rsid w:val="008E3CDF"/>
    <w:rsid w:val="008E513C"/>
    <w:rsid w:val="008E5533"/>
    <w:rsid w:val="008E5FEA"/>
    <w:rsid w:val="008E63D5"/>
    <w:rsid w:val="008E6C11"/>
    <w:rsid w:val="008E6E3E"/>
    <w:rsid w:val="008E6E8E"/>
    <w:rsid w:val="008F07EA"/>
    <w:rsid w:val="008F1345"/>
    <w:rsid w:val="008F13FE"/>
    <w:rsid w:val="008F149B"/>
    <w:rsid w:val="008F177F"/>
    <w:rsid w:val="008F1EEA"/>
    <w:rsid w:val="008F212F"/>
    <w:rsid w:val="008F2272"/>
    <w:rsid w:val="008F35EE"/>
    <w:rsid w:val="008F39F9"/>
    <w:rsid w:val="008F4422"/>
    <w:rsid w:val="008F570E"/>
    <w:rsid w:val="008F57EE"/>
    <w:rsid w:val="008F5B56"/>
    <w:rsid w:val="008F6AFB"/>
    <w:rsid w:val="008F6D8A"/>
    <w:rsid w:val="008F789B"/>
    <w:rsid w:val="008F790A"/>
    <w:rsid w:val="009004E3"/>
    <w:rsid w:val="009021B4"/>
    <w:rsid w:val="0090287A"/>
    <w:rsid w:val="0090299F"/>
    <w:rsid w:val="00902FE3"/>
    <w:rsid w:val="0090355B"/>
    <w:rsid w:val="00903894"/>
    <w:rsid w:val="00903B55"/>
    <w:rsid w:val="00903E75"/>
    <w:rsid w:val="00903F3D"/>
    <w:rsid w:val="0090456E"/>
    <w:rsid w:val="009047F4"/>
    <w:rsid w:val="009049AD"/>
    <w:rsid w:val="00904D5E"/>
    <w:rsid w:val="00904ED5"/>
    <w:rsid w:val="00905E1B"/>
    <w:rsid w:val="00906029"/>
    <w:rsid w:val="00907642"/>
    <w:rsid w:val="009079BD"/>
    <w:rsid w:val="009079E9"/>
    <w:rsid w:val="009107DF"/>
    <w:rsid w:val="00910C83"/>
    <w:rsid w:val="00910E10"/>
    <w:rsid w:val="00911146"/>
    <w:rsid w:val="00912B9A"/>
    <w:rsid w:val="009135DD"/>
    <w:rsid w:val="00913D89"/>
    <w:rsid w:val="009145EF"/>
    <w:rsid w:val="00915DEC"/>
    <w:rsid w:val="009165DB"/>
    <w:rsid w:val="00916D27"/>
    <w:rsid w:val="0091728C"/>
    <w:rsid w:val="0091771D"/>
    <w:rsid w:val="00917B82"/>
    <w:rsid w:val="009206AA"/>
    <w:rsid w:val="00920912"/>
    <w:rsid w:val="00920A5C"/>
    <w:rsid w:val="00922C1B"/>
    <w:rsid w:val="00923343"/>
    <w:rsid w:val="00923A1F"/>
    <w:rsid w:val="00923DAA"/>
    <w:rsid w:val="00923ECD"/>
    <w:rsid w:val="0092412E"/>
    <w:rsid w:val="009242C3"/>
    <w:rsid w:val="009242C9"/>
    <w:rsid w:val="009244D4"/>
    <w:rsid w:val="00924F59"/>
    <w:rsid w:val="00925282"/>
    <w:rsid w:val="00925F7D"/>
    <w:rsid w:val="00926288"/>
    <w:rsid w:val="00926353"/>
    <w:rsid w:val="00927517"/>
    <w:rsid w:val="00927B27"/>
    <w:rsid w:val="00927CB8"/>
    <w:rsid w:val="0093044D"/>
    <w:rsid w:val="00930648"/>
    <w:rsid w:val="00930A1A"/>
    <w:rsid w:val="00930E46"/>
    <w:rsid w:val="00931794"/>
    <w:rsid w:val="00931AF4"/>
    <w:rsid w:val="009324B8"/>
    <w:rsid w:val="009324D6"/>
    <w:rsid w:val="009328DF"/>
    <w:rsid w:val="009329EA"/>
    <w:rsid w:val="00932A8B"/>
    <w:rsid w:val="00932BF8"/>
    <w:rsid w:val="00933882"/>
    <w:rsid w:val="00933EB1"/>
    <w:rsid w:val="00934F09"/>
    <w:rsid w:val="00935939"/>
    <w:rsid w:val="0093617D"/>
    <w:rsid w:val="00936922"/>
    <w:rsid w:val="00937AD0"/>
    <w:rsid w:val="0094062D"/>
    <w:rsid w:val="0094077B"/>
    <w:rsid w:val="00941208"/>
    <w:rsid w:val="0094187B"/>
    <w:rsid w:val="0094227B"/>
    <w:rsid w:val="00942B95"/>
    <w:rsid w:val="00942E5F"/>
    <w:rsid w:val="009437E0"/>
    <w:rsid w:val="009437E3"/>
    <w:rsid w:val="00944038"/>
    <w:rsid w:val="0094483A"/>
    <w:rsid w:val="00944E58"/>
    <w:rsid w:val="0094518D"/>
    <w:rsid w:val="00945613"/>
    <w:rsid w:val="00945E8C"/>
    <w:rsid w:val="00946374"/>
    <w:rsid w:val="0094670F"/>
    <w:rsid w:val="00946FE4"/>
    <w:rsid w:val="00947BD5"/>
    <w:rsid w:val="00947D87"/>
    <w:rsid w:val="00950103"/>
    <w:rsid w:val="00950593"/>
    <w:rsid w:val="00950889"/>
    <w:rsid w:val="00950CBA"/>
    <w:rsid w:val="00950D66"/>
    <w:rsid w:val="00951010"/>
    <w:rsid w:val="009510BA"/>
    <w:rsid w:val="00951B72"/>
    <w:rsid w:val="00951C6F"/>
    <w:rsid w:val="00951F03"/>
    <w:rsid w:val="00952297"/>
    <w:rsid w:val="00952AFE"/>
    <w:rsid w:val="009539BA"/>
    <w:rsid w:val="00953A53"/>
    <w:rsid w:val="00955C0A"/>
    <w:rsid w:val="00955F29"/>
    <w:rsid w:val="00956DAB"/>
    <w:rsid w:val="00957BAB"/>
    <w:rsid w:val="009600EF"/>
    <w:rsid w:val="009608F4"/>
    <w:rsid w:val="00961705"/>
    <w:rsid w:val="00961AA5"/>
    <w:rsid w:val="00961B1B"/>
    <w:rsid w:val="00961FD4"/>
    <w:rsid w:val="00962198"/>
    <w:rsid w:val="0096250D"/>
    <w:rsid w:val="00962CED"/>
    <w:rsid w:val="00963084"/>
    <w:rsid w:val="00963E37"/>
    <w:rsid w:val="0096424D"/>
    <w:rsid w:val="00964CF9"/>
    <w:rsid w:val="009653A6"/>
    <w:rsid w:val="009657CD"/>
    <w:rsid w:val="00965910"/>
    <w:rsid w:val="00965A2F"/>
    <w:rsid w:val="00966140"/>
    <w:rsid w:val="00966668"/>
    <w:rsid w:val="009669AB"/>
    <w:rsid w:val="00966D67"/>
    <w:rsid w:val="00966F61"/>
    <w:rsid w:val="00967744"/>
    <w:rsid w:val="00967AF1"/>
    <w:rsid w:val="00970F5F"/>
    <w:rsid w:val="00973383"/>
    <w:rsid w:val="009737F2"/>
    <w:rsid w:val="0097427E"/>
    <w:rsid w:val="00974B9A"/>
    <w:rsid w:val="00974FBB"/>
    <w:rsid w:val="00975001"/>
    <w:rsid w:val="00975908"/>
    <w:rsid w:val="00975AFB"/>
    <w:rsid w:val="00975CEF"/>
    <w:rsid w:val="009768E7"/>
    <w:rsid w:val="00976BE7"/>
    <w:rsid w:val="00976DA1"/>
    <w:rsid w:val="0097792D"/>
    <w:rsid w:val="009807DD"/>
    <w:rsid w:val="00980CC2"/>
    <w:rsid w:val="00980E22"/>
    <w:rsid w:val="00981A98"/>
    <w:rsid w:val="00982B0D"/>
    <w:rsid w:val="00982BFB"/>
    <w:rsid w:val="00982D94"/>
    <w:rsid w:val="00985397"/>
    <w:rsid w:val="00985A54"/>
    <w:rsid w:val="00985D95"/>
    <w:rsid w:val="009865D1"/>
    <w:rsid w:val="00986626"/>
    <w:rsid w:val="00990AC3"/>
    <w:rsid w:val="00992A29"/>
    <w:rsid w:val="00993AD6"/>
    <w:rsid w:val="00994081"/>
    <w:rsid w:val="00994836"/>
    <w:rsid w:val="00995F31"/>
    <w:rsid w:val="00996418"/>
    <w:rsid w:val="00997094"/>
    <w:rsid w:val="00997928"/>
    <w:rsid w:val="00997ED5"/>
    <w:rsid w:val="009A02DF"/>
    <w:rsid w:val="009A03BE"/>
    <w:rsid w:val="009A05AA"/>
    <w:rsid w:val="009A0667"/>
    <w:rsid w:val="009A079C"/>
    <w:rsid w:val="009A0AE6"/>
    <w:rsid w:val="009A0CEF"/>
    <w:rsid w:val="009A0D2C"/>
    <w:rsid w:val="009A26E9"/>
    <w:rsid w:val="009A310F"/>
    <w:rsid w:val="009A3E5C"/>
    <w:rsid w:val="009A5387"/>
    <w:rsid w:val="009A5BC8"/>
    <w:rsid w:val="009A64BD"/>
    <w:rsid w:val="009A71D5"/>
    <w:rsid w:val="009A7445"/>
    <w:rsid w:val="009A7C91"/>
    <w:rsid w:val="009B013D"/>
    <w:rsid w:val="009B04AF"/>
    <w:rsid w:val="009B0890"/>
    <w:rsid w:val="009B0B73"/>
    <w:rsid w:val="009B0C8F"/>
    <w:rsid w:val="009B104B"/>
    <w:rsid w:val="009B12F3"/>
    <w:rsid w:val="009B18C0"/>
    <w:rsid w:val="009B21C0"/>
    <w:rsid w:val="009B25A8"/>
    <w:rsid w:val="009B29B6"/>
    <w:rsid w:val="009B2E76"/>
    <w:rsid w:val="009B3443"/>
    <w:rsid w:val="009B3729"/>
    <w:rsid w:val="009B39F4"/>
    <w:rsid w:val="009B42F0"/>
    <w:rsid w:val="009B4E2D"/>
    <w:rsid w:val="009B4E67"/>
    <w:rsid w:val="009B5D43"/>
    <w:rsid w:val="009B66B4"/>
    <w:rsid w:val="009B7756"/>
    <w:rsid w:val="009C01FF"/>
    <w:rsid w:val="009C0464"/>
    <w:rsid w:val="009C0638"/>
    <w:rsid w:val="009C1DBF"/>
    <w:rsid w:val="009C21E3"/>
    <w:rsid w:val="009C2364"/>
    <w:rsid w:val="009C2AC8"/>
    <w:rsid w:val="009C3C39"/>
    <w:rsid w:val="009C4341"/>
    <w:rsid w:val="009C4B13"/>
    <w:rsid w:val="009C57AD"/>
    <w:rsid w:val="009C58F9"/>
    <w:rsid w:val="009C6796"/>
    <w:rsid w:val="009C73EE"/>
    <w:rsid w:val="009D0115"/>
    <w:rsid w:val="009D0A6C"/>
    <w:rsid w:val="009D143F"/>
    <w:rsid w:val="009D2088"/>
    <w:rsid w:val="009D27DE"/>
    <w:rsid w:val="009D2BEA"/>
    <w:rsid w:val="009D3896"/>
    <w:rsid w:val="009D4992"/>
    <w:rsid w:val="009D5382"/>
    <w:rsid w:val="009D556E"/>
    <w:rsid w:val="009D55E1"/>
    <w:rsid w:val="009D567B"/>
    <w:rsid w:val="009D7271"/>
    <w:rsid w:val="009D7997"/>
    <w:rsid w:val="009D7F0F"/>
    <w:rsid w:val="009E029F"/>
    <w:rsid w:val="009E166A"/>
    <w:rsid w:val="009E1C25"/>
    <w:rsid w:val="009E22F0"/>
    <w:rsid w:val="009E23E2"/>
    <w:rsid w:val="009E2C3E"/>
    <w:rsid w:val="009E3B23"/>
    <w:rsid w:val="009E3BA5"/>
    <w:rsid w:val="009E421B"/>
    <w:rsid w:val="009E4FB7"/>
    <w:rsid w:val="009E5874"/>
    <w:rsid w:val="009E5AB7"/>
    <w:rsid w:val="009E6C9A"/>
    <w:rsid w:val="009E706B"/>
    <w:rsid w:val="009F04DA"/>
    <w:rsid w:val="009F07DD"/>
    <w:rsid w:val="009F092A"/>
    <w:rsid w:val="009F0CC2"/>
    <w:rsid w:val="009F0EA5"/>
    <w:rsid w:val="009F107D"/>
    <w:rsid w:val="009F113C"/>
    <w:rsid w:val="009F138E"/>
    <w:rsid w:val="009F14D7"/>
    <w:rsid w:val="009F19C4"/>
    <w:rsid w:val="009F2605"/>
    <w:rsid w:val="009F27EA"/>
    <w:rsid w:val="009F29E5"/>
    <w:rsid w:val="009F2A4B"/>
    <w:rsid w:val="009F2FC6"/>
    <w:rsid w:val="009F3238"/>
    <w:rsid w:val="009F390E"/>
    <w:rsid w:val="009F4386"/>
    <w:rsid w:val="009F4587"/>
    <w:rsid w:val="009F4648"/>
    <w:rsid w:val="009F54E5"/>
    <w:rsid w:val="009F5530"/>
    <w:rsid w:val="009F5557"/>
    <w:rsid w:val="009F6247"/>
    <w:rsid w:val="009F62AE"/>
    <w:rsid w:val="009F6330"/>
    <w:rsid w:val="009F7147"/>
    <w:rsid w:val="009F76C2"/>
    <w:rsid w:val="00A011B5"/>
    <w:rsid w:val="00A014C1"/>
    <w:rsid w:val="00A016D6"/>
    <w:rsid w:val="00A0195A"/>
    <w:rsid w:val="00A0219C"/>
    <w:rsid w:val="00A027FE"/>
    <w:rsid w:val="00A0326A"/>
    <w:rsid w:val="00A033E7"/>
    <w:rsid w:val="00A03684"/>
    <w:rsid w:val="00A04118"/>
    <w:rsid w:val="00A047A6"/>
    <w:rsid w:val="00A04864"/>
    <w:rsid w:val="00A04B7B"/>
    <w:rsid w:val="00A0588A"/>
    <w:rsid w:val="00A05C1F"/>
    <w:rsid w:val="00A05CDB"/>
    <w:rsid w:val="00A06505"/>
    <w:rsid w:val="00A06F03"/>
    <w:rsid w:val="00A0728E"/>
    <w:rsid w:val="00A0757C"/>
    <w:rsid w:val="00A1018D"/>
    <w:rsid w:val="00A103A2"/>
    <w:rsid w:val="00A10A32"/>
    <w:rsid w:val="00A1195C"/>
    <w:rsid w:val="00A11B68"/>
    <w:rsid w:val="00A12176"/>
    <w:rsid w:val="00A123E2"/>
    <w:rsid w:val="00A1272D"/>
    <w:rsid w:val="00A12745"/>
    <w:rsid w:val="00A127F6"/>
    <w:rsid w:val="00A1299B"/>
    <w:rsid w:val="00A12E81"/>
    <w:rsid w:val="00A13559"/>
    <w:rsid w:val="00A141F3"/>
    <w:rsid w:val="00A1489B"/>
    <w:rsid w:val="00A14A85"/>
    <w:rsid w:val="00A15310"/>
    <w:rsid w:val="00A16818"/>
    <w:rsid w:val="00A175E7"/>
    <w:rsid w:val="00A20514"/>
    <w:rsid w:val="00A20B11"/>
    <w:rsid w:val="00A21326"/>
    <w:rsid w:val="00A218E5"/>
    <w:rsid w:val="00A21CB2"/>
    <w:rsid w:val="00A22BC7"/>
    <w:rsid w:val="00A22C3F"/>
    <w:rsid w:val="00A232A1"/>
    <w:rsid w:val="00A23434"/>
    <w:rsid w:val="00A24262"/>
    <w:rsid w:val="00A24F0B"/>
    <w:rsid w:val="00A25185"/>
    <w:rsid w:val="00A25D54"/>
    <w:rsid w:val="00A26B8F"/>
    <w:rsid w:val="00A26BB7"/>
    <w:rsid w:val="00A26CFA"/>
    <w:rsid w:val="00A303D7"/>
    <w:rsid w:val="00A31B0B"/>
    <w:rsid w:val="00A31B2E"/>
    <w:rsid w:val="00A31B72"/>
    <w:rsid w:val="00A32164"/>
    <w:rsid w:val="00A334CC"/>
    <w:rsid w:val="00A339E0"/>
    <w:rsid w:val="00A33B89"/>
    <w:rsid w:val="00A33BA6"/>
    <w:rsid w:val="00A3418C"/>
    <w:rsid w:val="00A341A1"/>
    <w:rsid w:val="00A34371"/>
    <w:rsid w:val="00A35A18"/>
    <w:rsid w:val="00A3600F"/>
    <w:rsid w:val="00A36168"/>
    <w:rsid w:val="00A37109"/>
    <w:rsid w:val="00A37152"/>
    <w:rsid w:val="00A37E47"/>
    <w:rsid w:val="00A404F8"/>
    <w:rsid w:val="00A40B2F"/>
    <w:rsid w:val="00A4173B"/>
    <w:rsid w:val="00A41D4D"/>
    <w:rsid w:val="00A41F69"/>
    <w:rsid w:val="00A4273A"/>
    <w:rsid w:val="00A42861"/>
    <w:rsid w:val="00A4286A"/>
    <w:rsid w:val="00A42F90"/>
    <w:rsid w:val="00A43A30"/>
    <w:rsid w:val="00A44817"/>
    <w:rsid w:val="00A44E5D"/>
    <w:rsid w:val="00A456B2"/>
    <w:rsid w:val="00A45CD0"/>
    <w:rsid w:val="00A46502"/>
    <w:rsid w:val="00A4662B"/>
    <w:rsid w:val="00A467E8"/>
    <w:rsid w:val="00A469AD"/>
    <w:rsid w:val="00A46F0F"/>
    <w:rsid w:val="00A4748D"/>
    <w:rsid w:val="00A47923"/>
    <w:rsid w:val="00A501AB"/>
    <w:rsid w:val="00A5110B"/>
    <w:rsid w:val="00A51615"/>
    <w:rsid w:val="00A5164E"/>
    <w:rsid w:val="00A51CE4"/>
    <w:rsid w:val="00A51DBE"/>
    <w:rsid w:val="00A51FD6"/>
    <w:rsid w:val="00A52E64"/>
    <w:rsid w:val="00A538BB"/>
    <w:rsid w:val="00A53959"/>
    <w:rsid w:val="00A53DCE"/>
    <w:rsid w:val="00A5430D"/>
    <w:rsid w:val="00A543FD"/>
    <w:rsid w:val="00A54A75"/>
    <w:rsid w:val="00A552DD"/>
    <w:rsid w:val="00A55374"/>
    <w:rsid w:val="00A553C8"/>
    <w:rsid w:val="00A55C36"/>
    <w:rsid w:val="00A573F5"/>
    <w:rsid w:val="00A57595"/>
    <w:rsid w:val="00A607EC"/>
    <w:rsid w:val="00A6095B"/>
    <w:rsid w:val="00A61BDE"/>
    <w:rsid w:val="00A623A9"/>
    <w:rsid w:val="00A63E6C"/>
    <w:rsid w:val="00A64054"/>
    <w:rsid w:val="00A64097"/>
    <w:rsid w:val="00A64342"/>
    <w:rsid w:val="00A64571"/>
    <w:rsid w:val="00A647D8"/>
    <w:rsid w:val="00A65652"/>
    <w:rsid w:val="00A65AE2"/>
    <w:rsid w:val="00A65DAA"/>
    <w:rsid w:val="00A65E38"/>
    <w:rsid w:val="00A65EC3"/>
    <w:rsid w:val="00A65F86"/>
    <w:rsid w:val="00A66746"/>
    <w:rsid w:val="00A67373"/>
    <w:rsid w:val="00A67965"/>
    <w:rsid w:val="00A70349"/>
    <w:rsid w:val="00A70743"/>
    <w:rsid w:val="00A708DB"/>
    <w:rsid w:val="00A70C36"/>
    <w:rsid w:val="00A70DA5"/>
    <w:rsid w:val="00A71268"/>
    <w:rsid w:val="00A713CC"/>
    <w:rsid w:val="00A71BB0"/>
    <w:rsid w:val="00A71C77"/>
    <w:rsid w:val="00A7207E"/>
    <w:rsid w:val="00A7239B"/>
    <w:rsid w:val="00A72DF4"/>
    <w:rsid w:val="00A72EBE"/>
    <w:rsid w:val="00A754F4"/>
    <w:rsid w:val="00A77028"/>
    <w:rsid w:val="00A7726F"/>
    <w:rsid w:val="00A773AF"/>
    <w:rsid w:val="00A77690"/>
    <w:rsid w:val="00A777E9"/>
    <w:rsid w:val="00A778D9"/>
    <w:rsid w:val="00A77E88"/>
    <w:rsid w:val="00A80126"/>
    <w:rsid w:val="00A80657"/>
    <w:rsid w:val="00A81289"/>
    <w:rsid w:val="00A82020"/>
    <w:rsid w:val="00A8249A"/>
    <w:rsid w:val="00A82A68"/>
    <w:rsid w:val="00A83621"/>
    <w:rsid w:val="00A83A5D"/>
    <w:rsid w:val="00A83C7A"/>
    <w:rsid w:val="00A847DF"/>
    <w:rsid w:val="00A84F12"/>
    <w:rsid w:val="00A85261"/>
    <w:rsid w:val="00A85791"/>
    <w:rsid w:val="00A865A5"/>
    <w:rsid w:val="00A8684D"/>
    <w:rsid w:val="00A869BA"/>
    <w:rsid w:val="00A8725A"/>
    <w:rsid w:val="00A87355"/>
    <w:rsid w:val="00A90547"/>
    <w:rsid w:val="00A9118C"/>
    <w:rsid w:val="00A914FF"/>
    <w:rsid w:val="00A9187E"/>
    <w:rsid w:val="00A92AD5"/>
    <w:rsid w:val="00A930A4"/>
    <w:rsid w:val="00A93158"/>
    <w:rsid w:val="00A932C6"/>
    <w:rsid w:val="00A9399B"/>
    <w:rsid w:val="00A93A62"/>
    <w:rsid w:val="00A93E46"/>
    <w:rsid w:val="00A93EC2"/>
    <w:rsid w:val="00A9429D"/>
    <w:rsid w:val="00A94349"/>
    <w:rsid w:val="00A9445D"/>
    <w:rsid w:val="00A96583"/>
    <w:rsid w:val="00A965A2"/>
    <w:rsid w:val="00AA00AC"/>
    <w:rsid w:val="00AA2492"/>
    <w:rsid w:val="00AA28FC"/>
    <w:rsid w:val="00AA3B84"/>
    <w:rsid w:val="00AA3E12"/>
    <w:rsid w:val="00AA3E7F"/>
    <w:rsid w:val="00AA40CA"/>
    <w:rsid w:val="00AA4773"/>
    <w:rsid w:val="00AA523B"/>
    <w:rsid w:val="00AA5288"/>
    <w:rsid w:val="00AA5299"/>
    <w:rsid w:val="00AA5A9A"/>
    <w:rsid w:val="00AA5ED0"/>
    <w:rsid w:val="00AA6733"/>
    <w:rsid w:val="00AA6A16"/>
    <w:rsid w:val="00AA6B06"/>
    <w:rsid w:val="00AA7396"/>
    <w:rsid w:val="00AB0F75"/>
    <w:rsid w:val="00AB205C"/>
    <w:rsid w:val="00AB345F"/>
    <w:rsid w:val="00AB4717"/>
    <w:rsid w:val="00AB48F2"/>
    <w:rsid w:val="00AB4970"/>
    <w:rsid w:val="00AB4D92"/>
    <w:rsid w:val="00AB510F"/>
    <w:rsid w:val="00AB5640"/>
    <w:rsid w:val="00AB68C4"/>
    <w:rsid w:val="00AB6BF2"/>
    <w:rsid w:val="00AB7782"/>
    <w:rsid w:val="00AC0196"/>
    <w:rsid w:val="00AC08EE"/>
    <w:rsid w:val="00AC0A6F"/>
    <w:rsid w:val="00AC0AE0"/>
    <w:rsid w:val="00AC1415"/>
    <w:rsid w:val="00AC1E70"/>
    <w:rsid w:val="00AC1F05"/>
    <w:rsid w:val="00AC2BBA"/>
    <w:rsid w:val="00AC326E"/>
    <w:rsid w:val="00AC3374"/>
    <w:rsid w:val="00AC3C00"/>
    <w:rsid w:val="00AC3F4F"/>
    <w:rsid w:val="00AC3FD7"/>
    <w:rsid w:val="00AC45A1"/>
    <w:rsid w:val="00AC4B11"/>
    <w:rsid w:val="00AC51B2"/>
    <w:rsid w:val="00AC54EB"/>
    <w:rsid w:val="00AC5ECA"/>
    <w:rsid w:val="00AC60A5"/>
    <w:rsid w:val="00AC74D2"/>
    <w:rsid w:val="00AC7A47"/>
    <w:rsid w:val="00AC7C0C"/>
    <w:rsid w:val="00AC7F8B"/>
    <w:rsid w:val="00AD0422"/>
    <w:rsid w:val="00AD0BAD"/>
    <w:rsid w:val="00AD0E2F"/>
    <w:rsid w:val="00AD1203"/>
    <w:rsid w:val="00AD15C3"/>
    <w:rsid w:val="00AD1799"/>
    <w:rsid w:val="00AD202B"/>
    <w:rsid w:val="00AD20A7"/>
    <w:rsid w:val="00AD27E0"/>
    <w:rsid w:val="00AD37F0"/>
    <w:rsid w:val="00AD3B00"/>
    <w:rsid w:val="00AD4B38"/>
    <w:rsid w:val="00AD4CF6"/>
    <w:rsid w:val="00AD4EBE"/>
    <w:rsid w:val="00AD5491"/>
    <w:rsid w:val="00AD5CAF"/>
    <w:rsid w:val="00AD5CE2"/>
    <w:rsid w:val="00AD5D61"/>
    <w:rsid w:val="00AD67F4"/>
    <w:rsid w:val="00AD6EDF"/>
    <w:rsid w:val="00AD7273"/>
    <w:rsid w:val="00AD794F"/>
    <w:rsid w:val="00AD7B8B"/>
    <w:rsid w:val="00AE0719"/>
    <w:rsid w:val="00AE0AB4"/>
    <w:rsid w:val="00AE0BC9"/>
    <w:rsid w:val="00AE0E99"/>
    <w:rsid w:val="00AE10E3"/>
    <w:rsid w:val="00AE147A"/>
    <w:rsid w:val="00AE1484"/>
    <w:rsid w:val="00AE16FE"/>
    <w:rsid w:val="00AE199C"/>
    <w:rsid w:val="00AE1C0E"/>
    <w:rsid w:val="00AE24F8"/>
    <w:rsid w:val="00AE28F2"/>
    <w:rsid w:val="00AE4008"/>
    <w:rsid w:val="00AE465D"/>
    <w:rsid w:val="00AE48ED"/>
    <w:rsid w:val="00AE4A1E"/>
    <w:rsid w:val="00AE4B39"/>
    <w:rsid w:val="00AE5D0E"/>
    <w:rsid w:val="00AE5E87"/>
    <w:rsid w:val="00AE77CA"/>
    <w:rsid w:val="00AE780A"/>
    <w:rsid w:val="00AF003E"/>
    <w:rsid w:val="00AF01D2"/>
    <w:rsid w:val="00AF039E"/>
    <w:rsid w:val="00AF1169"/>
    <w:rsid w:val="00AF19C1"/>
    <w:rsid w:val="00AF277F"/>
    <w:rsid w:val="00AF2B12"/>
    <w:rsid w:val="00AF3C28"/>
    <w:rsid w:val="00AF40D7"/>
    <w:rsid w:val="00AF428F"/>
    <w:rsid w:val="00AF4A81"/>
    <w:rsid w:val="00AF674A"/>
    <w:rsid w:val="00AF70DA"/>
    <w:rsid w:val="00AF7459"/>
    <w:rsid w:val="00AF7AF3"/>
    <w:rsid w:val="00AF7E8A"/>
    <w:rsid w:val="00B00082"/>
    <w:rsid w:val="00B00554"/>
    <w:rsid w:val="00B00AB1"/>
    <w:rsid w:val="00B014C1"/>
    <w:rsid w:val="00B01D2C"/>
    <w:rsid w:val="00B03260"/>
    <w:rsid w:val="00B03521"/>
    <w:rsid w:val="00B035FA"/>
    <w:rsid w:val="00B03EDE"/>
    <w:rsid w:val="00B0406E"/>
    <w:rsid w:val="00B04244"/>
    <w:rsid w:val="00B04EB5"/>
    <w:rsid w:val="00B0510A"/>
    <w:rsid w:val="00B05546"/>
    <w:rsid w:val="00B056CF"/>
    <w:rsid w:val="00B05F70"/>
    <w:rsid w:val="00B06CF0"/>
    <w:rsid w:val="00B07298"/>
    <w:rsid w:val="00B074EF"/>
    <w:rsid w:val="00B07611"/>
    <w:rsid w:val="00B10C37"/>
    <w:rsid w:val="00B12581"/>
    <w:rsid w:val="00B13317"/>
    <w:rsid w:val="00B135F3"/>
    <w:rsid w:val="00B14245"/>
    <w:rsid w:val="00B143C4"/>
    <w:rsid w:val="00B1493C"/>
    <w:rsid w:val="00B14A30"/>
    <w:rsid w:val="00B14CDC"/>
    <w:rsid w:val="00B14F11"/>
    <w:rsid w:val="00B156CE"/>
    <w:rsid w:val="00B16311"/>
    <w:rsid w:val="00B16429"/>
    <w:rsid w:val="00B16C7B"/>
    <w:rsid w:val="00B16D4F"/>
    <w:rsid w:val="00B176DC"/>
    <w:rsid w:val="00B176F1"/>
    <w:rsid w:val="00B2088F"/>
    <w:rsid w:val="00B20F15"/>
    <w:rsid w:val="00B21233"/>
    <w:rsid w:val="00B21905"/>
    <w:rsid w:val="00B22557"/>
    <w:rsid w:val="00B22688"/>
    <w:rsid w:val="00B22C9F"/>
    <w:rsid w:val="00B23277"/>
    <w:rsid w:val="00B2395B"/>
    <w:rsid w:val="00B23A6F"/>
    <w:rsid w:val="00B2512D"/>
    <w:rsid w:val="00B25DD8"/>
    <w:rsid w:val="00B262A2"/>
    <w:rsid w:val="00B26D93"/>
    <w:rsid w:val="00B27225"/>
    <w:rsid w:val="00B300BD"/>
    <w:rsid w:val="00B301FB"/>
    <w:rsid w:val="00B308BC"/>
    <w:rsid w:val="00B30941"/>
    <w:rsid w:val="00B30FA8"/>
    <w:rsid w:val="00B3104E"/>
    <w:rsid w:val="00B31E0A"/>
    <w:rsid w:val="00B31E48"/>
    <w:rsid w:val="00B32BBD"/>
    <w:rsid w:val="00B32E85"/>
    <w:rsid w:val="00B330B0"/>
    <w:rsid w:val="00B3331A"/>
    <w:rsid w:val="00B334F7"/>
    <w:rsid w:val="00B33607"/>
    <w:rsid w:val="00B33645"/>
    <w:rsid w:val="00B33E0B"/>
    <w:rsid w:val="00B33FAE"/>
    <w:rsid w:val="00B3421C"/>
    <w:rsid w:val="00B34246"/>
    <w:rsid w:val="00B34270"/>
    <w:rsid w:val="00B34449"/>
    <w:rsid w:val="00B353A4"/>
    <w:rsid w:val="00B353D8"/>
    <w:rsid w:val="00B3557F"/>
    <w:rsid w:val="00B35978"/>
    <w:rsid w:val="00B35A29"/>
    <w:rsid w:val="00B360A5"/>
    <w:rsid w:val="00B361F1"/>
    <w:rsid w:val="00B363DC"/>
    <w:rsid w:val="00B364F0"/>
    <w:rsid w:val="00B36590"/>
    <w:rsid w:val="00B366AD"/>
    <w:rsid w:val="00B37835"/>
    <w:rsid w:val="00B37BAF"/>
    <w:rsid w:val="00B409A4"/>
    <w:rsid w:val="00B43645"/>
    <w:rsid w:val="00B43B40"/>
    <w:rsid w:val="00B43E66"/>
    <w:rsid w:val="00B43F62"/>
    <w:rsid w:val="00B449C9"/>
    <w:rsid w:val="00B44A6D"/>
    <w:rsid w:val="00B44DC7"/>
    <w:rsid w:val="00B44E33"/>
    <w:rsid w:val="00B45589"/>
    <w:rsid w:val="00B45DBA"/>
    <w:rsid w:val="00B45E5E"/>
    <w:rsid w:val="00B46592"/>
    <w:rsid w:val="00B47579"/>
    <w:rsid w:val="00B50015"/>
    <w:rsid w:val="00B50134"/>
    <w:rsid w:val="00B5030E"/>
    <w:rsid w:val="00B50B0C"/>
    <w:rsid w:val="00B50F33"/>
    <w:rsid w:val="00B51595"/>
    <w:rsid w:val="00B52193"/>
    <w:rsid w:val="00B5252D"/>
    <w:rsid w:val="00B52A44"/>
    <w:rsid w:val="00B530B2"/>
    <w:rsid w:val="00B536A4"/>
    <w:rsid w:val="00B5417C"/>
    <w:rsid w:val="00B541DB"/>
    <w:rsid w:val="00B54E52"/>
    <w:rsid w:val="00B55CAF"/>
    <w:rsid w:val="00B564B7"/>
    <w:rsid w:val="00B56566"/>
    <w:rsid w:val="00B56D57"/>
    <w:rsid w:val="00B56FCC"/>
    <w:rsid w:val="00B5700D"/>
    <w:rsid w:val="00B60169"/>
    <w:rsid w:val="00B60583"/>
    <w:rsid w:val="00B61555"/>
    <w:rsid w:val="00B616B2"/>
    <w:rsid w:val="00B636A0"/>
    <w:rsid w:val="00B63EB2"/>
    <w:rsid w:val="00B63F11"/>
    <w:rsid w:val="00B6489F"/>
    <w:rsid w:val="00B64E74"/>
    <w:rsid w:val="00B652EA"/>
    <w:rsid w:val="00B65C90"/>
    <w:rsid w:val="00B668D5"/>
    <w:rsid w:val="00B66FEE"/>
    <w:rsid w:val="00B70156"/>
    <w:rsid w:val="00B70489"/>
    <w:rsid w:val="00B70A63"/>
    <w:rsid w:val="00B70B41"/>
    <w:rsid w:val="00B70CED"/>
    <w:rsid w:val="00B71A83"/>
    <w:rsid w:val="00B72100"/>
    <w:rsid w:val="00B72DB1"/>
    <w:rsid w:val="00B73B1D"/>
    <w:rsid w:val="00B73C94"/>
    <w:rsid w:val="00B73D48"/>
    <w:rsid w:val="00B74225"/>
    <w:rsid w:val="00B746E6"/>
    <w:rsid w:val="00B74BF1"/>
    <w:rsid w:val="00B751DB"/>
    <w:rsid w:val="00B75AC9"/>
    <w:rsid w:val="00B76895"/>
    <w:rsid w:val="00B769BD"/>
    <w:rsid w:val="00B76EDF"/>
    <w:rsid w:val="00B77E98"/>
    <w:rsid w:val="00B802EF"/>
    <w:rsid w:val="00B807B4"/>
    <w:rsid w:val="00B80BA3"/>
    <w:rsid w:val="00B81542"/>
    <w:rsid w:val="00B818F0"/>
    <w:rsid w:val="00B826A7"/>
    <w:rsid w:val="00B82D6E"/>
    <w:rsid w:val="00B83019"/>
    <w:rsid w:val="00B832F9"/>
    <w:rsid w:val="00B83B3B"/>
    <w:rsid w:val="00B83B57"/>
    <w:rsid w:val="00B83B93"/>
    <w:rsid w:val="00B83E91"/>
    <w:rsid w:val="00B84C54"/>
    <w:rsid w:val="00B84EC3"/>
    <w:rsid w:val="00B85061"/>
    <w:rsid w:val="00B85E7F"/>
    <w:rsid w:val="00B867C0"/>
    <w:rsid w:val="00B86D57"/>
    <w:rsid w:val="00B90023"/>
    <w:rsid w:val="00B90D30"/>
    <w:rsid w:val="00B91D55"/>
    <w:rsid w:val="00B91EA2"/>
    <w:rsid w:val="00B93B74"/>
    <w:rsid w:val="00B93C94"/>
    <w:rsid w:val="00B942C9"/>
    <w:rsid w:val="00B9477A"/>
    <w:rsid w:val="00B957E6"/>
    <w:rsid w:val="00B97274"/>
    <w:rsid w:val="00B97439"/>
    <w:rsid w:val="00B978E6"/>
    <w:rsid w:val="00B9CF42"/>
    <w:rsid w:val="00BA00BC"/>
    <w:rsid w:val="00BA0B19"/>
    <w:rsid w:val="00BA1BA2"/>
    <w:rsid w:val="00BA2214"/>
    <w:rsid w:val="00BA3158"/>
    <w:rsid w:val="00BA37C0"/>
    <w:rsid w:val="00BA3F91"/>
    <w:rsid w:val="00BA4A07"/>
    <w:rsid w:val="00BA4BAD"/>
    <w:rsid w:val="00BA661E"/>
    <w:rsid w:val="00BA6C3F"/>
    <w:rsid w:val="00BA7237"/>
    <w:rsid w:val="00BA72BD"/>
    <w:rsid w:val="00BA785F"/>
    <w:rsid w:val="00BA7E05"/>
    <w:rsid w:val="00BB1213"/>
    <w:rsid w:val="00BB19B7"/>
    <w:rsid w:val="00BB1AA8"/>
    <w:rsid w:val="00BB2AA3"/>
    <w:rsid w:val="00BB2DB3"/>
    <w:rsid w:val="00BB2F28"/>
    <w:rsid w:val="00BB34E6"/>
    <w:rsid w:val="00BB3645"/>
    <w:rsid w:val="00BB36E5"/>
    <w:rsid w:val="00BB39E1"/>
    <w:rsid w:val="00BB65BE"/>
    <w:rsid w:val="00BB7006"/>
    <w:rsid w:val="00BB789C"/>
    <w:rsid w:val="00BB7D55"/>
    <w:rsid w:val="00BC1DFB"/>
    <w:rsid w:val="00BC4366"/>
    <w:rsid w:val="00BC48BA"/>
    <w:rsid w:val="00BC4A3C"/>
    <w:rsid w:val="00BC4EB6"/>
    <w:rsid w:val="00BC4F32"/>
    <w:rsid w:val="00BC536A"/>
    <w:rsid w:val="00BC61BD"/>
    <w:rsid w:val="00BC64E2"/>
    <w:rsid w:val="00BC6FF0"/>
    <w:rsid w:val="00BC744B"/>
    <w:rsid w:val="00BD0532"/>
    <w:rsid w:val="00BD0DFE"/>
    <w:rsid w:val="00BD0E50"/>
    <w:rsid w:val="00BD0F53"/>
    <w:rsid w:val="00BD270B"/>
    <w:rsid w:val="00BD28E6"/>
    <w:rsid w:val="00BD2C34"/>
    <w:rsid w:val="00BD34A0"/>
    <w:rsid w:val="00BD34A6"/>
    <w:rsid w:val="00BD3512"/>
    <w:rsid w:val="00BD35D5"/>
    <w:rsid w:val="00BD3646"/>
    <w:rsid w:val="00BD376D"/>
    <w:rsid w:val="00BD4B9D"/>
    <w:rsid w:val="00BD59D8"/>
    <w:rsid w:val="00BD63E1"/>
    <w:rsid w:val="00BD6AE7"/>
    <w:rsid w:val="00BD71DC"/>
    <w:rsid w:val="00BD7909"/>
    <w:rsid w:val="00BD7C93"/>
    <w:rsid w:val="00BD7FE0"/>
    <w:rsid w:val="00BE00E0"/>
    <w:rsid w:val="00BE05E5"/>
    <w:rsid w:val="00BE0830"/>
    <w:rsid w:val="00BE1F13"/>
    <w:rsid w:val="00BE2643"/>
    <w:rsid w:val="00BE3453"/>
    <w:rsid w:val="00BE371B"/>
    <w:rsid w:val="00BE3B0A"/>
    <w:rsid w:val="00BE3B92"/>
    <w:rsid w:val="00BE4792"/>
    <w:rsid w:val="00BE56A6"/>
    <w:rsid w:val="00BE63BA"/>
    <w:rsid w:val="00BE660F"/>
    <w:rsid w:val="00BE6659"/>
    <w:rsid w:val="00BE6DC9"/>
    <w:rsid w:val="00BE765C"/>
    <w:rsid w:val="00BF0300"/>
    <w:rsid w:val="00BF08B8"/>
    <w:rsid w:val="00BF11D4"/>
    <w:rsid w:val="00BF1F08"/>
    <w:rsid w:val="00BF3229"/>
    <w:rsid w:val="00BF3363"/>
    <w:rsid w:val="00BF4AD8"/>
    <w:rsid w:val="00BF4CB4"/>
    <w:rsid w:val="00BF580F"/>
    <w:rsid w:val="00BF6820"/>
    <w:rsid w:val="00BF6C13"/>
    <w:rsid w:val="00BF71B6"/>
    <w:rsid w:val="00BF741E"/>
    <w:rsid w:val="00BF751F"/>
    <w:rsid w:val="00BF776D"/>
    <w:rsid w:val="00BF7820"/>
    <w:rsid w:val="00BF7917"/>
    <w:rsid w:val="00BF7BC5"/>
    <w:rsid w:val="00C00102"/>
    <w:rsid w:val="00C006E7"/>
    <w:rsid w:val="00C01767"/>
    <w:rsid w:val="00C02196"/>
    <w:rsid w:val="00C0236E"/>
    <w:rsid w:val="00C02694"/>
    <w:rsid w:val="00C03883"/>
    <w:rsid w:val="00C03DBF"/>
    <w:rsid w:val="00C055FA"/>
    <w:rsid w:val="00C05EC2"/>
    <w:rsid w:val="00C06AE1"/>
    <w:rsid w:val="00C06C64"/>
    <w:rsid w:val="00C0748C"/>
    <w:rsid w:val="00C07874"/>
    <w:rsid w:val="00C07D8B"/>
    <w:rsid w:val="00C1015A"/>
    <w:rsid w:val="00C107FD"/>
    <w:rsid w:val="00C10B50"/>
    <w:rsid w:val="00C10B6E"/>
    <w:rsid w:val="00C12185"/>
    <w:rsid w:val="00C12360"/>
    <w:rsid w:val="00C13011"/>
    <w:rsid w:val="00C13A60"/>
    <w:rsid w:val="00C14040"/>
    <w:rsid w:val="00C14301"/>
    <w:rsid w:val="00C14631"/>
    <w:rsid w:val="00C14A61"/>
    <w:rsid w:val="00C14B1B"/>
    <w:rsid w:val="00C14CB4"/>
    <w:rsid w:val="00C14DE4"/>
    <w:rsid w:val="00C1507B"/>
    <w:rsid w:val="00C1522B"/>
    <w:rsid w:val="00C1546F"/>
    <w:rsid w:val="00C16468"/>
    <w:rsid w:val="00C20156"/>
    <w:rsid w:val="00C207AB"/>
    <w:rsid w:val="00C20E97"/>
    <w:rsid w:val="00C21BEC"/>
    <w:rsid w:val="00C223BC"/>
    <w:rsid w:val="00C225F2"/>
    <w:rsid w:val="00C22D69"/>
    <w:rsid w:val="00C22DAB"/>
    <w:rsid w:val="00C22F65"/>
    <w:rsid w:val="00C23B3D"/>
    <w:rsid w:val="00C23FE1"/>
    <w:rsid w:val="00C24C0E"/>
    <w:rsid w:val="00C25092"/>
    <w:rsid w:val="00C252E3"/>
    <w:rsid w:val="00C25CDF"/>
    <w:rsid w:val="00C26A4D"/>
    <w:rsid w:val="00C26B1F"/>
    <w:rsid w:val="00C275C2"/>
    <w:rsid w:val="00C308FE"/>
    <w:rsid w:val="00C30AD0"/>
    <w:rsid w:val="00C31BBE"/>
    <w:rsid w:val="00C32027"/>
    <w:rsid w:val="00C32409"/>
    <w:rsid w:val="00C325F3"/>
    <w:rsid w:val="00C32C58"/>
    <w:rsid w:val="00C33071"/>
    <w:rsid w:val="00C330AC"/>
    <w:rsid w:val="00C33511"/>
    <w:rsid w:val="00C3381F"/>
    <w:rsid w:val="00C33850"/>
    <w:rsid w:val="00C33E03"/>
    <w:rsid w:val="00C34119"/>
    <w:rsid w:val="00C3492C"/>
    <w:rsid w:val="00C34CD4"/>
    <w:rsid w:val="00C356A1"/>
    <w:rsid w:val="00C35A98"/>
    <w:rsid w:val="00C35D8C"/>
    <w:rsid w:val="00C35E00"/>
    <w:rsid w:val="00C370ED"/>
    <w:rsid w:val="00C372E9"/>
    <w:rsid w:val="00C3745A"/>
    <w:rsid w:val="00C37B15"/>
    <w:rsid w:val="00C4007E"/>
    <w:rsid w:val="00C400AE"/>
    <w:rsid w:val="00C400B3"/>
    <w:rsid w:val="00C416E3"/>
    <w:rsid w:val="00C425BA"/>
    <w:rsid w:val="00C428D5"/>
    <w:rsid w:val="00C4320C"/>
    <w:rsid w:val="00C43304"/>
    <w:rsid w:val="00C43C9F"/>
    <w:rsid w:val="00C44216"/>
    <w:rsid w:val="00C445B1"/>
    <w:rsid w:val="00C44825"/>
    <w:rsid w:val="00C44CC2"/>
    <w:rsid w:val="00C44D11"/>
    <w:rsid w:val="00C44EBA"/>
    <w:rsid w:val="00C453AC"/>
    <w:rsid w:val="00C453E6"/>
    <w:rsid w:val="00C45779"/>
    <w:rsid w:val="00C45C63"/>
    <w:rsid w:val="00C460DE"/>
    <w:rsid w:val="00C464B1"/>
    <w:rsid w:val="00C46796"/>
    <w:rsid w:val="00C47301"/>
    <w:rsid w:val="00C47AF4"/>
    <w:rsid w:val="00C47B3D"/>
    <w:rsid w:val="00C47C72"/>
    <w:rsid w:val="00C500C8"/>
    <w:rsid w:val="00C51920"/>
    <w:rsid w:val="00C51A0E"/>
    <w:rsid w:val="00C53A03"/>
    <w:rsid w:val="00C54366"/>
    <w:rsid w:val="00C55164"/>
    <w:rsid w:val="00C5561F"/>
    <w:rsid w:val="00C556F0"/>
    <w:rsid w:val="00C558A5"/>
    <w:rsid w:val="00C56D4C"/>
    <w:rsid w:val="00C56EBD"/>
    <w:rsid w:val="00C5734E"/>
    <w:rsid w:val="00C57445"/>
    <w:rsid w:val="00C57C6F"/>
    <w:rsid w:val="00C60A5C"/>
    <w:rsid w:val="00C60C5C"/>
    <w:rsid w:val="00C60E59"/>
    <w:rsid w:val="00C61391"/>
    <w:rsid w:val="00C61D39"/>
    <w:rsid w:val="00C6213C"/>
    <w:rsid w:val="00C621DD"/>
    <w:rsid w:val="00C628A3"/>
    <w:rsid w:val="00C62A08"/>
    <w:rsid w:val="00C6307B"/>
    <w:rsid w:val="00C63A5D"/>
    <w:rsid w:val="00C64589"/>
    <w:rsid w:val="00C64839"/>
    <w:rsid w:val="00C64A99"/>
    <w:rsid w:val="00C651A7"/>
    <w:rsid w:val="00C655D1"/>
    <w:rsid w:val="00C66868"/>
    <w:rsid w:val="00C66C15"/>
    <w:rsid w:val="00C67305"/>
    <w:rsid w:val="00C67698"/>
    <w:rsid w:val="00C67C6C"/>
    <w:rsid w:val="00C67FAE"/>
    <w:rsid w:val="00C70655"/>
    <w:rsid w:val="00C70D99"/>
    <w:rsid w:val="00C71B05"/>
    <w:rsid w:val="00C72087"/>
    <w:rsid w:val="00C72987"/>
    <w:rsid w:val="00C72A96"/>
    <w:rsid w:val="00C7300C"/>
    <w:rsid w:val="00C736A0"/>
    <w:rsid w:val="00C73A83"/>
    <w:rsid w:val="00C742CC"/>
    <w:rsid w:val="00C744F1"/>
    <w:rsid w:val="00C746D5"/>
    <w:rsid w:val="00C74A7C"/>
    <w:rsid w:val="00C74EC8"/>
    <w:rsid w:val="00C75483"/>
    <w:rsid w:val="00C756F3"/>
    <w:rsid w:val="00C761C4"/>
    <w:rsid w:val="00C7632B"/>
    <w:rsid w:val="00C76414"/>
    <w:rsid w:val="00C768D2"/>
    <w:rsid w:val="00C76936"/>
    <w:rsid w:val="00C7742F"/>
    <w:rsid w:val="00C7770F"/>
    <w:rsid w:val="00C80530"/>
    <w:rsid w:val="00C80D7B"/>
    <w:rsid w:val="00C8159B"/>
    <w:rsid w:val="00C82999"/>
    <w:rsid w:val="00C83264"/>
    <w:rsid w:val="00C8331F"/>
    <w:rsid w:val="00C838F1"/>
    <w:rsid w:val="00C83BC8"/>
    <w:rsid w:val="00C84331"/>
    <w:rsid w:val="00C848F8"/>
    <w:rsid w:val="00C852FC"/>
    <w:rsid w:val="00C85788"/>
    <w:rsid w:val="00C86025"/>
    <w:rsid w:val="00C86193"/>
    <w:rsid w:val="00C874E2"/>
    <w:rsid w:val="00C87A35"/>
    <w:rsid w:val="00C87C37"/>
    <w:rsid w:val="00C90F95"/>
    <w:rsid w:val="00C91719"/>
    <w:rsid w:val="00C918B2"/>
    <w:rsid w:val="00C9264B"/>
    <w:rsid w:val="00C92B68"/>
    <w:rsid w:val="00C9306A"/>
    <w:rsid w:val="00C954AD"/>
    <w:rsid w:val="00C958C7"/>
    <w:rsid w:val="00C95D1B"/>
    <w:rsid w:val="00C9608B"/>
    <w:rsid w:val="00C9689D"/>
    <w:rsid w:val="00C968BD"/>
    <w:rsid w:val="00C9749A"/>
    <w:rsid w:val="00C97678"/>
    <w:rsid w:val="00C979A9"/>
    <w:rsid w:val="00CA0CC5"/>
    <w:rsid w:val="00CA11C2"/>
    <w:rsid w:val="00CA13A6"/>
    <w:rsid w:val="00CA1657"/>
    <w:rsid w:val="00CA1B90"/>
    <w:rsid w:val="00CA2033"/>
    <w:rsid w:val="00CA23C9"/>
    <w:rsid w:val="00CA28E2"/>
    <w:rsid w:val="00CA2ED9"/>
    <w:rsid w:val="00CA34D0"/>
    <w:rsid w:val="00CA35C6"/>
    <w:rsid w:val="00CA37F4"/>
    <w:rsid w:val="00CA3E63"/>
    <w:rsid w:val="00CA42A7"/>
    <w:rsid w:val="00CA5F40"/>
    <w:rsid w:val="00CA61D2"/>
    <w:rsid w:val="00CA6216"/>
    <w:rsid w:val="00CA65EE"/>
    <w:rsid w:val="00CA6C44"/>
    <w:rsid w:val="00CA7183"/>
    <w:rsid w:val="00CA7405"/>
    <w:rsid w:val="00CA7537"/>
    <w:rsid w:val="00CA78EA"/>
    <w:rsid w:val="00CB0EAB"/>
    <w:rsid w:val="00CB1E93"/>
    <w:rsid w:val="00CB2047"/>
    <w:rsid w:val="00CB2120"/>
    <w:rsid w:val="00CB22FF"/>
    <w:rsid w:val="00CB28BB"/>
    <w:rsid w:val="00CB34A3"/>
    <w:rsid w:val="00CB4E1E"/>
    <w:rsid w:val="00CB63D2"/>
    <w:rsid w:val="00CB6A02"/>
    <w:rsid w:val="00CB6BAF"/>
    <w:rsid w:val="00CB6D5C"/>
    <w:rsid w:val="00CB7007"/>
    <w:rsid w:val="00CB7972"/>
    <w:rsid w:val="00CB7FBA"/>
    <w:rsid w:val="00CC0524"/>
    <w:rsid w:val="00CC0B42"/>
    <w:rsid w:val="00CC0D91"/>
    <w:rsid w:val="00CC0DC3"/>
    <w:rsid w:val="00CC13C8"/>
    <w:rsid w:val="00CC19BB"/>
    <w:rsid w:val="00CC1B5B"/>
    <w:rsid w:val="00CC2068"/>
    <w:rsid w:val="00CC24CC"/>
    <w:rsid w:val="00CC2C45"/>
    <w:rsid w:val="00CC35DD"/>
    <w:rsid w:val="00CC3AB4"/>
    <w:rsid w:val="00CC3B9F"/>
    <w:rsid w:val="00CC3DE0"/>
    <w:rsid w:val="00CC5450"/>
    <w:rsid w:val="00CC5907"/>
    <w:rsid w:val="00CC5A3D"/>
    <w:rsid w:val="00CC6838"/>
    <w:rsid w:val="00CD09E6"/>
    <w:rsid w:val="00CD0EC7"/>
    <w:rsid w:val="00CD2241"/>
    <w:rsid w:val="00CD2590"/>
    <w:rsid w:val="00CD2F10"/>
    <w:rsid w:val="00CD302B"/>
    <w:rsid w:val="00CD357C"/>
    <w:rsid w:val="00CD36A9"/>
    <w:rsid w:val="00CD37EE"/>
    <w:rsid w:val="00CD46A8"/>
    <w:rsid w:val="00CD562B"/>
    <w:rsid w:val="00CD569E"/>
    <w:rsid w:val="00CD5700"/>
    <w:rsid w:val="00CD5772"/>
    <w:rsid w:val="00CD60CE"/>
    <w:rsid w:val="00CD6F4D"/>
    <w:rsid w:val="00CD7FB1"/>
    <w:rsid w:val="00CE079D"/>
    <w:rsid w:val="00CE0A3D"/>
    <w:rsid w:val="00CE12B2"/>
    <w:rsid w:val="00CE1311"/>
    <w:rsid w:val="00CE1722"/>
    <w:rsid w:val="00CE2C4D"/>
    <w:rsid w:val="00CE2E7E"/>
    <w:rsid w:val="00CE4067"/>
    <w:rsid w:val="00CE483D"/>
    <w:rsid w:val="00CE4DCD"/>
    <w:rsid w:val="00CE5AA6"/>
    <w:rsid w:val="00CE5C28"/>
    <w:rsid w:val="00CE5D13"/>
    <w:rsid w:val="00CE619F"/>
    <w:rsid w:val="00CE635E"/>
    <w:rsid w:val="00CE67B0"/>
    <w:rsid w:val="00CE69CC"/>
    <w:rsid w:val="00CE6A6B"/>
    <w:rsid w:val="00CE6BB7"/>
    <w:rsid w:val="00CE7510"/>
    <w:rsid w:val="00CE7C41"/>
    <w:rsid w:val="00CE7F40"/>
    <w:rsid w:val="00CF25A7"/>
    <w:rsid w:val="00CF2AA7"/>
    <w:rsid w:val="00CF2CF9"/>
    <w:rsid w:val="00CF2DE0"/>
    <w:rsid w:val="00CF2FBA"/>
    <w:rsid w:val="00CF306D"/>
    <w:rsid w:val="00CF32F4"/>
    <w:rsid w:val="00CF38A5"/>
    <w:rsid w:val="00CF43EB"/>
    <w:rsid w:val="00CF488F"/>
    <w:rsid w:val="00CF52AF"/>
    <w:rsid w:val="00CF5B3D"/>
    <w:rsid w:val="00CF5F56"/>
    <w:rsid w:val="00CF6018"/>
    <w:rsid w:val="00CF63D7"/>
    <w:rsid w:val="00CF6562"/>
    <w:rsid w:val="00CF684D"/>
    <w:rsid w:val="00CF72BA"/>
    <w:rsid w:val="00CF7333"/>
    <w:rsid w:val="00CF7C63"/>
    <w:rsid w:val="00D015AD"/>
    <w:rsid w:val="00D01843"/>
    <w:rsid w:val="00D01D9B"/>
    <w:rsid w:val="00D01E52"/>
    <w:rsid w:val="00D020B0"/>
    <w:rsid w:val="00D02885"/>
    <w:rsid w:val="00D02B1C"/>
    <w:rsid w:val="00D038AB"/>
    <w:rsid w:val="00D03DCB"/>
    <w:rsid w:val="00D058CB"/>
    <w:rsid w:val="00D063FC"/>
    <w:rsid w:val="00D0651C"/>
    <w:rsid w:val="00D06DA3"/>
    <w:rsid w:val="00D07744"/>
    <w:rsid w:val="00D1059F"/>
    <w:rsid w:val="00D1065D"/>
    <w:rsid w:val="00D10BC2"/>
    <w:rsid w:val="00D10BE8"/>
    <w:rsid w:val="00D10FA2"/>
    <w:rsid w:val="00D110EA"/>
    <w:rsid w:val="00D11CD6"/>
    <w:rsid w:val="00D11EF8"/>
    <w:rsid w:val="00D12D23"/>
    <w:rsid w:val="00D1317B"/>
    <w:rsid w:val="00D13A1A"/>
    <w:rsid w:val="00D1480C"/>
    <w:rsid w:val="00D14C7F"/>
    <w:rsid w:val="00D15547"/>
    <w:rsid w:val="00D15789"/>
    <w:rsid w:val="00D16B58"/>
    <w:rsid w:val="00D172C0"/>
    <w:rsid w:val="00D17303"/>
    <w:rsid w:val="00D175C7"/>
    <w:rsid w:val="00D17889"/>
    <w:rsid w:val="00D17CFB"/>
    <w:rsid w:val="00D201D4"/>
    <w:rsid w:val="00D20744"/>
    <w:rsid w:val="00D207A3"/>
    <w:rsid w:val="00D20EA9"/>
    <w:rsid w:val="00D21014"/>
    <w:rsid w:val="00D21199"/>
    <w:rsid w:val="00D215B0"/>
    <w:rsid w:val="00D223AB"/>
    <w:rsid w:val="00D2247B"/>
    <w:rsid w:val="00D22555"/>
    <w:rsid w:val="00D22CEE"/>
    <w:rsid w:val="00D22EEF"/>
    <w:rsid w:val="00D24B09"/>
    <w:rsid w:val="00D24B64"/>
    <w:rsid w:val="00D25793"/>
    <w:rsid w:val="00D26154"/>
    <w:rsid w:val="00D268A5"/>
    <w:rsid w:val="00D26F54"/>
    <w:rsid w:val="00D27451"/>
    <w:rsid w:val="00D27B30"/>
    <w:rsid w:val="00D3044A"/>
    <w:rsid w:val="00D307C7"/>
    <w:rsid w:val="00D31D5B"/>
    <w:rsid w:val="00D31E46"/>
    <w:rsid w:val="00D325EA"/>
    <w:rsid w:val="00D32859"/>
    <w:rsid w:val="00D32AFB"/>
    <w:rsid w:val="00D335BA"/>
    <w:rsid w:val="00D3361B"/>
    <w:rsid w:val="00D3391F"/>
    <w:rsid w:val="00D33BF2"/>
    <w:rsid w:val="00D33E05"/>
    <w:rsid w:val="00D33EEA"/>
    <w:rsid w:val="00D33F0D"/>
    <w:rsid w:val="00D354C7"/>
    <w:rsid w:val="00D3551D"/>
    <w:rsid w:val="00D36974"/>
    <w:rsid w:val="00D3761B"/>
    <w:rsid w:val="00D3780C"/>
    <w:rsid w:val="00D378C1"/>
    <w:rsid w:val="00D37ADE"/>
    <w:rsid w:val="00D40961"/>
    <w:rsid w:val="00D41595"/>
    <w:rsid w:val="00D4182C"/>
    <w:rsid w:val="00D42532"/>
    <w:rsid w:val="00D4325B"/>
    <w:rsid w:val="00D4464D"/>
    <w:rsid w:val="00D447F4"/>
    <w:rsid w:val="00D4505C"/>
    <w:rsid w:val="00D4582B"/>
    <w:rsid w:val="00D458B7"/>
    <w:rsid w:val="00D458DB"/>
    <w:rsid w:val="00D46031"/>
    <w:rsid w:val="00D46648"/>
    <w:rsid w:val="00D46658"/>
    <w:rsid w:val="00D47E36"/>
    <w:rsid w:val="00D5064A"/>
    <w:rsid w:val="00D50D91"/>
    <w:rsid w:val="00D510CD"/>
    <w:rsid w:val="00D51887"/>
    <w:rsid w:val="00D52415"/>
    <w:rsid w:val="00D52B45"/>
    <w:rsid w:val="00D52EC3"/>
    <w:rsid w:val="00D53359"/>
    <w:rsid w:val="00D53A2A"/>
    <w:rsid w:val="00D53CE9"/>
    <w:rsid w:val="00D544F6"/>
    <w:rsid w:val="00D54944"/>
    <w:rsid w:val="00D54A28"/>
    <w:rsid w:val="00D54A2D"/>
    <w:rsid w:val="00D54B8B"/>
    <w:rsid w:val="00D557EE"/>
    <w:rsid w:val="00D55AF4"/>
    <w:rsid w:val="00D55B26"/>
    <w:rsid w:val="00D56037"/>
    <w:rsid w:val="00D568FA"/>
    <w:rsid w:val="00D56A8F"/>
    <w:rsid w:val="00D56E4F"/>
    <w:rsid w:val="00D57045"/>
    <w:rsid w:val="00D575C5"/>
    <w:rsid w:val="00D5768B"/>
    <w:rsid w:val="00D60195"/>
    <w:rsid w:val="00D605ED"/>
    <w:rsid w:val="00D6119B"/>
    <w:rsid w:val="00D61D09"/>
    <w:rsid w:val="00D623E9"/>
    <w:rsid w:val="00D629F4"/>
    <w:rsid w:val="00D63421"/>
    <w:rsid w:val="00D6345C"/>
    <w:rsid w:val="00D63D28"/>
    <w:rsid w:val="00D64ED7"/>
    <w:rsid w:val="00D66A0E"/>
    <w:rsid w:val="00D66A12"/>
    <w:rsid w:val="00D66D72"/>
    <w:rsid w:val="00D670E8"/>
    <w:rsid w:val="00D6727C"/>
    <w:rsid w:val="00D67648"/>
    <w:rsid w:val="00D679FD"/>
    <w:rsid w:val="00D67C87"/>
    <w:rsid w:val="00D705C5"/>
    <w:rsid w:val="00D71412"/>
    <w:rsid w:val="00D715E8"/>
    <w:rsid w:val="00D71AB7"/>
    <w:rsid w:val="00D71F8C"/>
    <w:rsid w:val="00D72199"/>
    <w:rsid w:val="00D72562"/>
    <w:rsid w:val="00D72645"/>
    <w:rsid w:val="00D7313A"/>
    <w:rsid w:val="00D73A21"/>
    <w:rsid w:val="00D73AFB"/>
    <w:rsid w:val="00D73BBA"/>
    <w:rsid w:val="00D744CB"/>
    <w:rsid w:val="00D74617"/>
    <w:rsid w:val="00D7479F"/>
    <w:rsid w:val="00D7579A"/>
    <w:rsid w:val="00D75BCF"/>
    <w:rsid w:val="00D76A21"/>
    <w:rsid w:val="00D76F4D"/>
    <w:rsid w:val="00D77083"/>
    <w:rsid w:val="00D77B6D"/>
    <w:rsid w:val="00D77B72"/>
    <w:rsid w:val="00D77F1E"/>
    <w:rsid w:val="00D80BCD"/>
    <w:rsid w:val="00D80C16"/>
    <w:rsid w:val="00D80EEC"/>
    <w:rsid w:val="00D81954"/>
    <w:rsid w:val="00D82BBC"/>
    <w:rsid w:val="00D83267"/>
    <w:rsid w:val="00D850AA"/>
    <w:rsid w:val="00D85432"/>
    <w:rsid w:val="00D86200"/>
    <w:rsid w:val="00D8628B"/>
    <w:rsid w:val="00D862E8"/>
    <w:rsid w:val="00D870DA"/>
    <w:rsid w:val="00D870DC"/>
    <w:rsid w:val="00D877D6"/>
    <w:rsid w:val="00D87CB5"/>
    <w:rsid w:val="00D9043D"/>
    <w:rsid w:val="00D90C99"/>
    <w:rsid w:val="00D91B28"/>
    <w:rsid w:val="00D91FAD"/>
    <w:rsid w:val="00D92551"/>
    <w:rsid w:val="00D9402E"/>
    <w:rsid w:val="00D942AE"/>
    <w:rsid w:val="00D9448C"/>
    <w:rsid w:val="00D945F3"/>
    <w:rsid w:val="00D95897"/>
    <w:rsid w:val="00D95FCC"/>
    <w:rsid w:val="00D962E3"/>
    <w:rsid w:val="00D9686E"/>
    <w:rsid w:val="00D96E0B"/>
    <w:rsid w:val="00D97A0D"/>
    <w:rsid w:val="00D97FCC"/>
    <w:rsid w:val="00DA01A2"/>
    <w:rsid w:val="00DA0B22"/>
    <w:rsid w:val="00DA1424"/>
    <w:rsid w:val="00DA1B87"/>
    <w:rsid w:val="00DA2D33"/>
    <w:rsid w:val="00DA2EA0"/>
    <w:rsid w:val="00DA2EBC"/>
    <w:rsid w:val="00DA2F05"/>
    <w:rsid w:val="00DA3B93"/>
    <w:rsid w:val="00DA3CC6"/>
    <w:rsid w:val="00DA3DE3"/>
    <w:rsid w:val="00DA5215"/>
    <w:rsid w:val="00DA5293"/>
    <w:rsid w:val="00DA54F2"/>
    <w:rsid w:val="00DA5A17"/>
    <w:rsid w:val="00DA5D67"/>
    <w:rsid w:val="00DA7120"/>
    <w:rsid w:val="00DA74F6"/>
    <w:rsid w:val="00DA789C"/>
    <w:rsid w:val="00DA7AFD"/>
    <w:rsid w:val="00DA7D4C"/>
    <w:rsid w:val="00DA7D6A"/>
    <w:rsid w:val="00DB01B0"/>
    <w:rsid w:val="00DB0360"/>
    <w:rsid w:val="00DB07C1"/>
    <w:rsid w:val="00DB0C4C"/>
    <w:rsid w:val="00DB1D74"/>
    <w:rsid w:val="00DB2822"/>
    <w:rsid w:val="00DB2CB7"/>
    <w:rsid w:val="00DB2E72"/>
    <w:rsid w:val="00DB36C2"/>
    <w:rsid w:val="00DB38D0"/>
    <w:rsid w:val="00DB3AD1"/>
    <w:rsid w:val="00DB3BDC"/>
    <w:rsid w:val="00DB3FA6"/>
    <w:rsid w:val="00DB4181"/>
    <w:rsid w:val="00DB449A"/>
    <w:rsid w:val="00DB4AC8"/>
    <w:rsid w:val="00DB4E52"/>
    <w:rsid w:val="00DB5527"/>
    <w:rsid w:val="00DB5660"/>
    <w:rsid w:val="00DB6C57"/>
    <w:rsid w:val="00DB6C7C"/>
    <w:rsid w:val="00DB70EB"/>
    <w:rsid w:val="00DB7DAA"/>
    <w:rsid w:val="00DB7FA0"/>
    <w:rsid w:val="00DC0DAD"/>
    <w:rsid w:val="00DC16E8"/>
    <w:rsid w:val="00DC1B25"/>
    <w:rsid w:val="00DC1BEF"/>
    <w:rsid w:val="00DC1C6C"/>
    <w:rsid w:val="00DC216D"/>
    <w:rsid w:val="00DC2503"/>
    <w:rsid w:val="00DC39FA"/>
    <w:rsid w:val="00DC3D21"/>
    <w:rsid w:val="00DC4DF7"/>
    <w:rsid w:val="00DC5ED5"/>
    <w:rsid w:val="00DC61D9"/>
    <w:rsid w:val="00DC6298"/>
    <w:rsid w:val="00DC67F4"/>
    <w:rsid w:val="00DC6F41"/>
    <w:rsid w:val="00DC701A"/>
    <w:rsid w:val="00DC77BA"/>
    <w:rsid w:val="00DD091F"/>
    <w:rsid w:val="00DD10FB"/>
    <w:rsid w:val="00DD122A"/>
    <w:rsid w:val="00DD1BBA"/>
    <w:rsid w:val="00DD1C6A"/>
    <w:rsid w:val="00DD2CF9"/>
    <w:rsid w:val="00DD378A"/>
    <w:rsid w:val="00DD4482"/>
    <w:rsid w:val="00DD523D"/>
    <w:rsid w:val="00DD5367"/>
    <w:rsid w:val="00DD5CA9"/>
    <w:rsid w:val="00DD642F"/>
    <w:rsid w:val="00DD6F2B"/>
    <w:rsid w:val="00DD7989"/>
    <w:rsid w:val="00DD7A84"/>
    <w:rsid w:val="00DE02D0"/>
    <w:rsid w:val="00DE0488"/>
    <w:rsid w:val="00DE1DC3"/>
    <w:rsid w:val="00DE1DDF"/>
    <w:rsid w:val="00DE2211"/>
    <w:rsid w:val="00DE293F"/>
    <w:rsid w:val="00DE454D"/>
    <w:rsid w:val="00DE477E"/>
    <w:rsid w:val="00DE47B3"/>
    <w:rsid w:val="00DE486B"/>
    <w:rsid w:val="00DE4B11"/>
    <w:rsid w:val="00DE5C23"/>
    <w:rsid w:val="00DE5C45"/>
    <w:rsid w:val="00DE5C4F"/>
    <w:rsid w:val="00DE601C"/>
    <w:rsid w:val="00DE61D6"/>
    <w:rsid w:val="00DE6612"/>
    <w:rsid w:val="00DE72C3"/>
    <w:rsid w:val="00DE7B0F"/>
    <w:rsid w:val="00DF14B4"/>
    <w:rsid w:val="00DF2815"/>
    <w:rsid w:val="00DF296B"/>
    <w:rsid w:val="00DF2AAF"/>
    <w:rsid w:val="00DF32B7"/>
    <w:rsid w:val="00DF33D6"/>
    <w:rsid w:val="00DF342B"/>
    <w:rsid w:val="00DF4452"/>
    <w:rsid w:val="00DF4D63"/>
    <w:rsid w:val="00DF6DF2"/>
    <w:rsid w:val="00DF703E"/>
    <w:rsid w:val="00E00241"/>
    <w:rsid w:val="00E00FC9"/>
    <w:rsid w:val="00E012D5"/>
    <w:rsid w:val="00E013A9"/>
    <w:rsid w:val="00E013CD"/>
    <w:rsid w:val="00E015D3"/>
    <w:rsid w:val="00E01D86"/>
    <w:rsid w:val="00E0241F"/>
    <w:rsid w:val="00E026B8"/>
    <w:rsid w:val="00E027B8"/>
    <w:rsid w:val="00E02FA9"/>
    <w:rsid w:val="00E039C2"/>
    <w:rsid w:val="00E04309"/>
    <w:rsid w:val="00E04D79"/>
    <w:rsid w:val="00E050C8"/>
    <w:rsid w:val="00E054C3"/>
    <w:rsid w:val="00E05F27"/>
    <w:rsid w:val="00E066CD"/>
    <w:rsid w:val="00E068CD"/>
    <w:rsid w:val="00E07CC8"/>
    <w:rsid w:val="00E10331"/>
    <w:rsid w:val="00E10E06"/>
    <w:rsid w:val="00E10EE8"/>
    <w:rsid w:val="00E11107"/>
    <w:rsid w:val="00E129A5"/>
    <w:rsid w:val="00E12C20"/>
    <w:rsid w:val="00E13BB4"/>
    <w:rsid w:val="00E13D8A"/>
    <w:rsid w:val="00E15135"/>
    <w:rsid w:val="00E15C32"/>
    <w:rsid w:val="00E15EDF"/>
    <w:rsid w:val="00E16EFA"/>
    <w:rsid w:val="00E200E0"/>
    <w:rsid w:val="00E2073B"/>
    <w:rsid w:val="00E20FC0"/>
    <w:rsid w:val="00E218B7"/>
    <w:rsid w:val="00E225E7"/>
    <w:rsid w:val="00E228DB"/>
    <w:rsid w:val="00E23A7F"/>
    <w:rsid w:val="00E24121"/>
    <w:rsid w:val="00E24A8A"/>
    <w:rsid w:val="00E24FDC"/>
    <w:rsid w:val="00E25088"/>
    <w:rsid w:val="00E251A7"/>
    <w:rsid w:val="00E2555D"/>
    <w:rsid w:val="00E25C1B"/>
    <w:rsid w:val="00E27569"/>
    <w:rsid w:val="00E30F6E"/>
    <w:rsid w:val="00E32B81"/>
    <w:rsid w:val="00E33353"/>
    <w:rsid w:val="00E33CBA"/>
    <w:rsid w:val="00E344CE"/>
    <w:rsid w:val="00E345A5"/>
    <w:rsid w:val="00E34A10"/>
    <w:rsid w:val="00E34C3A"/>
    <w:rsid w:val="00E35516"/>
    <w:rsid w:val="00E35A01"/>
    <w:rsid w:val="00E36149"/>
    <w:rsid w:val="00E37403"/>
    <w:rsid w:val="00E3759E"/>
    <w:rsid w:val="00E379D6"/>
    <w:rsid w:val="00E37CA3"/>
    <w:rsid w:val="00E40596"/>
    <w:rsid w:val="00E410AC"/>
    <w:rsid w:val="00E41D16"/>
    <w:rsid w:val="00E42249"/>
    <w:rsid w:val="00E43B94"/>
    <w:rsid w:val="00E44040"/>
    <w:rsid w:val="00E441D4"/>
    <w:rsid w:val="00E444CB"/>
    <w:rsid w:val="00E4492F"/>
    <w:rsid w:val="00E4538C"/>
    <w:rsid w:val="00E4605A"/>
    <w:rsid w:val="00E4620F"/>
    <w:rsid w:val="00E4682C"/>
    <w:rsid w:val="00E476B5"/>
    <w:rsid w:val="00E47B44"/>
    <w:rsid w:val="00E50887"/>
    <w:rsid w:val="00E51730"/>
    <w:rsid w:val="00E52AD8"/>
    <w:rsid w:val="00E52C7D"/>
    <w:rsid w:val="00E531EA"/>
    <w:rsid w:val="00E53C5A"/>
    <w:rsid w:val="00E54182"/>
    <w:rsid w:val="00E550B4"/>
    <w:rsid w:val="00E562D7"/>
    <w:rsid w:val="00E5631D"/>
    <w:rsid w:val="00E56599"/>
    <w:rsid w:val="00E56730"/>
    <w:rsid w:val="00E56A58"/>
    <w:rsid w:val="00E577A1"/>
    <w:rsid w:val="00E5799F"/>
    <w:rsid w:val="00E57A72"/>
    <w:rsid w:val="00E600E0"/>
    <w:rsid w:val="00E60BD2"/>
    <w:rsid w:val="00E60D8B"/>
    <w:rsid w:val="00E61053"/>
    <w:rsid w:val="00E612D5"/>
    <w:rsid w:val="00E6188E"/>
    <w:rsid w:val="00E61C2A"/>
    <w:rsid w:val="00E62587"/>
    <w:rsid w:val="00E627CE"/>
    <w:rsid w:val="00E62A81"/>
    <w:rsid w:val="00E62B2E"/>
    <w:rsid w:val="00E62BA8"/>
    <w:rsid w:val="00E62C72"/>
    <w:rsid w:val="00E6338E"/>
    <w:rsid w:val="00E633D0"/>
    <w:rsid w:val="00E639F4"/>
    <w:rsid w:val="00E63A18"/>
    <w:rsid w:val="00E63F95"/>
    <w:rsid w:val="00E64B69"/>
    <w:rsid w:val="00E64BF6"/>
    <w:rsid w:val="00E64DD1"/>
    <w:rsid w:val="00E65396"/>
    <w:rsid w:val="00E65E55"/>
    <w:rsid w:val="00E661FF"/>
    <w:rsid w:val="00E66298"/>
    <w:rsid w:val="00E6669A"/>
    <w:rsid w:val="00E66BB6"/>
    <w:rsid w:val="00E675E7"/>
    <w:rsid w:val="00E67FC1"/>
    <w:rsid w:val="00E702D6"/>
    <w:rsid w:val="00E70415"/>
    <w:rsid w:val="00E70B57"/>
    <w:rsid w:val="00E70B8D"/>
    <w:rsid w:val="00E715D7"/>
    <w:rsid w:val="00E71715"/>
    <w:rsid w:val="00E72599"/>
    <w:rsid w:val="00E7272A"/>
    <w:rsid w:val="00E72AED"/>
    <w:rsid w:val="00E72B47"/>
    <w:rsid w:val="00E72E17"/>
    <w:rsid w:val="00E735D5"/>
    <w:rsid w:val="00E73A50"/>
    <w:rsid w:val="00E73F0C"/>
    <w:rsid w:val="00E73F2C"/>
    <w:rsid w:val="00E74B31"/>
    <w:rsid w:val="00E752AC"/>
    <w:rsid w:val="00E76881"/>
    <w:rsid w:val="00E77191"/>
    <w:rsid w:val="00E77793"/>
    <w:rsid w:val="00E802CA"/>
    <w:rsid w:val="00E81A1C"/>
    <w:rsid w:val="00E822F3"/>
    <w:rsid w:val="00E84533"/>
    <w:rsid w:val="00E84BB6"/>
    <w:rsid w:val="00E856B7"/>
    <w:rsid w:val="00E86423"/>
    <w:rsid w:val="00E86DD4"/>
    <w:rsid w:val="00E8777C"/>
    <w:rsid w:val="00E877D8"/>
    <w:rsid w:val="00E87C35"/>
    <w:rsid w:val="00E87D72"/>
    <w:rsid w:val="00E87EC8"/>
    <w:rsid w:val="00E900AA"/>
    <w:rsid w:val="00E90670"/>
    <w:rsid w:val="00E90A4F"/>
    <w:rsid w:val="00E90CA5"/>
    <w:rsid w:val="00E90FC7"/>
    <w:rsid w:val="00E90FEC"/>
    <w:rsid w:val="00E91283"/>
    <w:rsid w:val="00E91CC2"/>
    <w:rsid w:val="00E91D56"/>
    <w:rsid w:val="00E91F3A"/>
    <w:rsid w:val="00E91FEE"/>
    <w:rsid w:val="00E92C36"/>
    <w:rsid w:val="00E93318"/>
    <w:rsid w:val="00E933CE"/>
    <w:rsid w:val="00E9347D"/>
    <w:rsid w:val="00E939D7"/>
    <w:rsid w:val="00E93DD6"/>
    <w:rsid w:val="00E943E1"/>
    <w:rsid w:val="00E94DE0"/>
    <w:rsid w:val="00E94FB8"/>
    <w:rsid w:val="00E9509C"/>
    <w:rsid w:val="00E950CF"/>
    <w:rsid w:val="00E95780"/>
    <w:rsid w:val="00E95D7F"/>
    <w:rsid w:val="00E95F66"/>
    <w:rsid w:val="00E96129"/>
    <w:rsid w:val="00E96C2A"/>
    <w:rsid w:val="00E97421"/>
    <w:rsid w:val="00E97854"/>
    <w:rsid w:val="00E97E83"/>
    <w:rsid w:val="00EA0085"/>
    <w:rsid w:val="00EA0420"/>
    <w:rsid w:val="00EA0B32"/>
    <w:rsid w:val="00EA168F"/>
    <w:rsid w:val="00EA196B"/>
    <w:rsid w:val="00EA1BBC"/>
    <w:rsid w:val="00EA21B5"/>
    <w:rsid w:val="00EA22E2"/>
    <w:rsid w:val="00EA291A"/>
    <w:rsid w:val="00EA2DC4"/>
    <w:rsid w:val="00EA3EF9"/>
    <w:rsid w:val="00EA3FEF"/>
    <w:rsid w:val="00EA49E0"/>
    <w:rsid w:val="00EA4A14"/>
    <w:rsid w:val="00EA4DBA"/>
    <w:rsid w:val="00EA59A1"/>
    <w:rsid w:val="00EA6999"/>
    <w:rsid w:val="00EA6CA0"/>
    <w:rsid w:val="00EA6D1D"/>
    <w:rsid w:val="00EB0102"/>
    <w:rsid w:val="00EB0388"/>
    <w:rsid w:val="00EB15B0"/>
    <w:rsid w:val="00EB1A25"/>
    <w:rsid w:val="00EB1A26"/>
    <w:rsid w:val="00EB2B1F"/>
    <w:rsid w:val="00EB30CA"/>
    <w:rsid w:val="00EB4488"/>
    <w:rsid w:val="00EB44DF"/>
    <w:rsid w:val="00EB4909"/>
    <w:rsid w:val="00EB4A73"/>
    <w:rsid w:val="00EB4CE1"/>
    <w:rsid w:val="00EB558A"/>
    <w:rsid w:val="00EB7D47"/>
    <w:rsid w:val="00EB7DD1"/>
    <w:rsid w:val="00EB7F78"/>
    <w:rsid w:val="00EC170C"/>
    <w:rsid w:val="00EC1FDF"/>
    <w:rsid w:val="00EC2536"/>
    <w:rsid w:val="00EC2ACF"/>
    <w:rsid w:val="00EC2EAE"/>
    <w:rsid w:val="00EC30BE"/>
    <w:rsid w:val="00EC3E5F"/>
    <w:rsid w:val="00EC49E3"/>
    <w:rsid w:val="00EC50C2"/>
    <w:rsid w:val="00EC5F38"/>
    <w:rsid w:val="00EC6083"/>
    <w:rsid w:val="00EC631A"/>
    <w:rsid w:val="00EC68B7"/>
    <w:rsid w:val="00EC6BDF"/>
    <w:rsid w:val="00EC6E01"/>
    <w:rsid w:val="00EC6F89"/>
    <w:rsid w:val="00EC7157"/>
    <w:rsid w:val="00EC774B"/>
    <w:rsid w:val="00EC7DD7"/>
    <w:rsid w:val="00EC7E48"/>
    <w:rsid w:val="00EC7EDA"/>
    <w:rsid w:val="00EC7FE5"/>
    <w:rsid w:val="00ED0259"/>
    <w:rsid w:val="00ED0635"/>
    <w:rsid w:val="00ED0C32"/>
    <w:rsid w:val="00ED1089"/>
    <w:rsid w:val="00ED1E2E"/>
    <w:rsid w:val="00ED33A5"/>
    <w:rsid w:val="00ED38D2"/>
    <w:rsid w:val="00ED41CA"/>
    <w:rsid w:val="00ED526E"/>
    <w:rsid w:val="00ED57B3"/>
    <w:rsid w:val="00ED5C68"/>
    <w:rsid w:val="00ED62BD"/>
    <w:rsid w:val="00ED6F37"/>
    <w:rsid w:val="00ED71EE"/>
    <w:rsid w:val="00ED71FF"/>
    <w:rsid w:val="00EE0AE7"/>
    <w:rsid w:val="00EE139A"/>
    <w:rsid w:val="00EE1C2C"/>
    <w:rsid w:val="00EE1CC2"/>
    <w:rsid w:val="00EE1EBB"/>
    <w:rsid w:val="00EE249C"/>
    <w:rsid w:val="00EE31C3"/>
    <w:rsid w:val="00EE3CB2"/>
    <w:rsid w:val="00EE408E"/>
    <w:rsid w:val="00EE4241"/>
    <w:rsid w:val="00EE52D5"/>
    <w:rsid w:val="00EE5A1F"/>
    <w:rsid w:val="00EE6A48"/>
    <w:rsid w:val="00EF0839"/>
    <w:rsid w:val="00EF0F03"/>
    <w:rsid w:val="00EF12ED"/>
    <w:rsid w:val="00EF194E"/>
    <w:rsid w:val="00EF1FA8"/>
    <w:rsid w:val="00EF2370"/>
    <w:rsid w:val="00EF29E9"/>
    <w:rsid w:val="00EF33BD"/>
    <w:rsid w:val="00EF5249"/>
    <w:rsid w:val="00EF6621"/>
    <w:rsid w:val="00EF74AF"/>
    <w:rsid w:val="00EF7B91"/>
    <w:rsid w:val="00EF7DC9"/>
    <w:rsid w:val="00F005C5"/>
    <w:rsid w:val="00F00EF1"/>
    <w:rsid w:val="00F0154B"/>
    <w:rsid w:val="00F016C9"/>
    <w:rsid w:val="00F01935"/>
    <w:rsid w:val="00F01A19"/>
    <w:rsid w:val="00F02373"/>
    <w:rsid w:val="00F02CB0"/>
    <w:rsid w:val="00F0390B"/>
    <w:rsid w:val="00F03932"/>
    <w:rsid w:val="00F0432D"/>
    <w:rsid w:val="00F04A06"/>
    <w:rsid w:val="00F05508"/>
    <w:rsid w:val="00F0578E"/>
    <w:rsid w:val="00F0669E"/>
    <w:rsid w:val="00F06D2B"/>
    <w:rsid w:val="00F073EE"/>
    <w:rsid w:val="00F074D1"/>
    <w:rsid w:val="00F074F0"/>
    <w:rsid w:val="00F077EC"/>
    <w:rsid w:val="00F07855"/>
    <w:rsid w:val="00F07934"/>
    <w:rsid w:val="00F102E9"/>
    <w:rsid w:val="00F104CB"/>
    <w:rsid w:val="00F104EE"/>
    <w:rsid w:val="00F10C47"/>
    <w:rsid w:val="00F10E56"/>
    <w:rsid w:val="00F11EA1"/>
    <w:rsid w:val="00F11EC5"/>
    <w:rsid w:val="00F11F85"/>
    <w:rsid w:val="00F12E8A"/>
    <w:rsid w:val="00F13098"/>
    <w:rsid w:val="00F1347C"/>
    <w:rsid w:val="00F13D5A"/>
    <w:rsid w:val="00F141A5"/>
    <w:rsid w:val="00F14290"/>
    <w:rsid w:val="00F14CAD"/>
    <w:rsid w:val="00F1506D"/>
    <w:rsid w:val="00F168E1"/>
    <w:rsid w:val="00F1717E"/>
    <w:rsid w:val="00F173FC"/>
    <w:rsid w:val="00F1742E"/>
    <w:rsid w:val="00F20EC6"/>
    <w:rsid w:val="00F21871"/>
    <w:rsid w:val="00F21FB9"/>
    <w:rsid w:val="00F222BD"/>
    <w:rsid w:val="00F22623"/>
    <w:rsid w:val="00F227C9"/>
    <w:rsid w:val="00F22C4A"/>
    <w:rsid w:val="00F2419E"/>
    <w:rsid w:val="00F24ADC"/>
    <w:rsid w:val="00F24C3B"/>
    <w:rsid w:val="00F24E29"/>
    <w:rsid w:val="00F2567D"/>
    <w:rsid w:val="00F260E4"/>
    <w:rsid w:val="00F2641D"/>
    <w:rsid w:val="00F264C6"/>
    <w:rsid w:val="00F2665B"/>
    <w:rsid w:val="00F267D2"/>
    <w:rsid w:val="00F268CD"/>
    <w:rsid w:val="00F26C96"/>
    <w:rsid w:val="00F271B3"/>
    <w:rsid w:val="00F27394"/>
    <w:rsid w:val="00F275E4"/>
    <w:rsid w:val="00F279CB"/>
    <w:rsid w:val="00F27A66"/>
    <w:rsid w:val="00F3085B"/>
    <w:rsid w:val="00F30E89"/>
    <w:rsid w:val="00F30EB2"/>
    <w:rsid w:val="00F319B1"/>
    <w:rsid w:val="00F32B7F"/>
    <w:rsid w:val="00F338BA"/>
    <w:rsid w:val="00F33A9F"/>
    <w:rsid w:val="00F33B30"/>
    <w:rsid w:val="00F34A58"/>
    <w:rsid w:val="00F353FE"/>
    <w:rsid w:val="00F35E1C"/>
    <w:rsid w:val="00F35E64"/>
    <w:rsid w:val="00F35F0A"/>
    <w:rsid w:val="00F36162"/>
    <w:rsid w:val="00F36D2C"/>
    <w:rsid w:val="00F36EA3"/>
    <w:rsid w:val="00F37846"/>
    <w:rsid w:val="00F37BE7"/>
    <w:rsid w:val="00F405C8"/>
    <w:rsid w:val="00F41F7C"/>
    <w:rsid w:val="00F42787"/>
    <w:rsid w:val="00F427D3"/>
    <w:rsid w:val="00F428FF"/>
    <w:rsid w:val="00F439A0"/>
    <w:rsid w:val="00F43F40"/>
    <w:rsid w:val="00F44014"/>
    <w:rsid w:val="00F44B2B"/>
    <w:rsid w:val="00F44D40"/>
    <w:rsid w:val="00F4530B"/>
    <w:rsid w:val="00F455B5"/>
    <w:rsid w:val="00F45883"/>
    <w:rsid w:val="00F463EC"/>
    <w:rsid w:val="00F46775"/>
    <w:rsid w:val="00F47B46"/>
    <w:rsid w:val="00F47CC0"/>
    <w:rsid w:val="00F47EC0"/>
    <w:rsid w:val="00F47F00"/>
    <w:rsid w:val="00F50A18"/>
    <w:rsid w:val="00F50A72"/>
    <w:rsid w:val="00F50B99"/>
    <w:rsid w:val="00F511A5"/>
    <w:rsid w:val="00F5181B"/>
    <w:rsid w:val="00F51947"/>
    <w:rsid w:val="00F51C7E"/>
    <w:rsid w:val="00F52B7C"/>
    <w:rsid w:val="00F53336"/>
    <w:rsid w:val="00F54135"/>
    <w:rsid w:val="00F54398"/>
    <w:rsid w:val="00F546B0"/>
    <w:rsid w:val="00F554E4"/>
    <w:rsid w:val="00F56648"/>
    <w:rsid w:val="00F56FA8"/>
    <w:rsid w:val="00F57099"/>
    <w:rsid w:val="00F5749E"/>
    <w:rsid w:val="00F57F74"/>
    <w:rsid w:val="00F60281"/>
    <w:rsid w:val="00F609BF"/>
    <w:rsid w:val="00F60AC5"/>
    <w:rsid w:val="00F60D9E"/>
    <w:rsid w:val="00F61FF5"/>
    <w:rsid w:val="00F6206B"/>
    <w:rsid w:val="00F62157"/>
    <w:rsid w:val="00F62B21"/>
    <w:rsid w:val="00F62DC0"/>
    <w:rsid w:val="00F6343B"/>
    <w:rsid w:val="00F635AB"/>
    <w:rsid w:val="00F63CE4"/>
    <w:rsid w:val="00F63E88"/>
    <w:rsid w:val="00F6506E"/>
    <w:rsid w:val="00F6511C"/>
    <w:rsid w:val="00F658C5"/>
    <w:rsid w:val="00F66543"/>
    <w:rsid w:val="00F67421"/>
    <w:rsid w:val="00F67A61"/>
    <w:rsid w:val="00F67BFC"/>
    <w:rsid w:val="00F67C3A"/>
    <w:rsid w:val="00F705BE"/>
    <w:rsid w:val="00F707A9"/>
    <w:rsid w:val="00F7119A"/>
    <w:rsid w:val="00F71720"/>
    <w:rsid w:val="00F71861"/>
    <w:rsid w:val="00F71C83"/>
    <w:rsid w:val="00F729C4"/>
    <w:rsid w:val="00F739DD"/>
    <w:rsid w:val="00F73C9A"/>
    <w:rsid w:val="00F73EF8"/>
    <w:rsid w:val="00F742F7"/>
    <w:rsid w:val="00F743A9"/>
    <w:rsid w:val="00F745DC"/>
    <w:rsid w:val="00F74D54"/>
    <w:rsid w:val="00F74F8C"/>
    <w:rsid w:val="00F753F7"/>
    <w:rsid w:val="00F758DF"/>
    <w:rsid w:val="00F761AA"/>
    <w:rsid w:val="00F764AE"/>
    <w:rsid w:val="00F7673C"/>
    <w:rsid w:val="00F76A12"/>
    <w:rsid w:val="00F76F15"/>
    <w:rsid w:val="00F77626"/>
    <w:rsid w:val="00F77C87"/>
    <w:rsid w:val="00F77FB0"/>
    <w:rsid w:val="00F80149"/>
    <w:rsid w:val="00F80D07"/>
    <w:rsid w:val="00F81232"/>
    <w:rsid w:val="00F81FDE"/>
    <w:rsid w:val="00F82366"/>
    <w:rsid w:val="00F8281D"/>
    <w:rsid w:val="00F828B7"/>
    <w:rsid w:val="00F82A85"/>
    <w:rsid w:val="00F82E70"/>
    <w:rsid w:val="00F82EAF"/>
    <w:rsid w:val="00F83271"/>
    <w:rsid w:val="00F83C90"/>
    <w:rsid w:val="00F8493B"/>
    <w:rsid w:val="00F87571"/>
    <w:rsid w:val="00F87626"/>
    <w:rsid w:val="00F87FC1"/>
    <w:rsid w:val="00F9242D"/>
    <w:rsid w:val="00F93649"/>
    <w:rsid w:val="00F944AE"/>
    <w:rsid w:val="00F95746"/>
    <w:rsid w:val="00F96478"/>
    <w:rsid w:val="00F978B1"/>
    <w:rsid w:val="00FA1889"/>
    <w:rsid w:val="00FA19C8"/>
    <w:rsid w:val="00FA2110"/>
    <w:rsid w:val="00FA2179"/>
    <w:rsid w:val="00FA274C"/>
    <w:rsid w:val="00FA28D3"/>
    <w:rsid w:val="00FA29EC"/>
    <w:rsid w:val="00FA2B7E"/>
    <w:rsid w:val="00FA2C2D"/>
    <w:rsid w:val="00FA2C81"/>
    <w:rsid w:val="00FA3F31"/>
    <w:rsid w:val="00FA3FA0"/>
    <w:rsid w:val="00FA4509"/>
    <w:rsid w:val="00FA4B85"/>
    <w:rsid w:val="00FA4BF3"/>
    <w:rsid w:val="00FA4F32"/>
    <w:rsid w:val="00FA5CF8"/>
    <w:rsid w:val="00FA5D48"/>
    <w:rsid w:val="00FA6493"/>
    <w:rsid w:val="00FA7319"/>
    <w:rsid w:val="00FA7ED7"/>
    <w:rsid w:val="00FB02AF"/>
    <w:rsid w:val="00FB072C"/>
    <w:rsid w:val="00FB0AA4"/>
    <w:rsid w:val="00FB18E0"/>
    <w:rsid w:val="00FB1E9C"/>
    <w:rsid w:val="00FB2182"/>
    <w:rsid w:val="00FB2F51"/>
    <w:rsid w:val="00FB2FEA"/>
    <w:rsid w:val="00FB3142"/>
    <w:rsid w:val="00FB34D8"/>
    <w:rsid w:val="00FB3508"/>
    <w:rsid w:val="00FB35FE"/>
    <w:rsid w:val="00FB3CD0"/>
    <w:rsid w:val="00FB45C4"/>
    <w:rsid w:val="00FB5096"/>
    <w:rsid w:val="00FB5B12"/>
    <w:rsid w:val="00FB5B70"/>
    <w:rsid w:val="00FB5D20"/>
    <w:rsid w:val="00FB6383"/>
    <w:rsid w:val="00FB6F70"/>
    <w:rsid w:val="00FB729B"/>
    <w:rsid w:val="00FB7BB8"/>
    <w:rsid w:val="00FC0440"/>
    <w:rsid w:val="00FC28AE"/>
    <w:rsid w:val="00FC2EA3"/>
    <w:rsid w:val="00FC31D1"/>
    <w:rsid w:val="00FC3538"/>
    <w:rsid w:val="00FC3C45"/>
    <w:rsid w:val="00FC41DC"/>
    <w:rsid w:val="00FC4D18"/>
    <w:rsid w:val="00FC6469"/>
    <w:rsid w:val="00FC6DBA"/>
    <w:rsid w:val="00FC732E"/>
    <w:rsid w:val="00FC78D1"/>
    <w:rsid w:val="00FD0FBF"/>
    <w:rsid w:val="00FD179A"/>
    <w:rsid w:val="00FD25D9"/>
    <w:rsid w:val="00FD2F27"/>
    <w:rsid w:val="00FD36B7"/>
    <w:rsid w:val="00FD36CB"/>
    <w:rsid w:val="00FD3939"/>
    <w:rsid w:val="00FD3C6A"/>
    <w:rsid w:val="00FD4417"/>
    <w:rsid w:val="00FD4AC4"/>
    <w:rsid w:val="00FD50D9"/>
    <w:rsid w:val="00FD547C"/>
    <w:rsid w:val="00FD595B"/>
    <w:rsid w:val="00FD5960"/>
    <w:rsid w:val="00FD59DF"/>
    <w:rsid w:val="00FD5CAE"/>
    <w:rsid w:val="00FD5F0A"/>
    <w:rsid w:val="00FD5FE3"/>
    <w:rsid w:val="00FD6165"/>
    <w:rsid w:val="00FD67AC"/>
    <w:rsid w:val="00FD6B95"/>
    <w:rsid w:val="00FD74D7"/>
    <w:rsid w:val="00FD771D"/>
    <w:rsid w:val="00FE108F"/>
    <w:rsid w:val="00FE1797"/>
    <w:rsid w:val="00FE22E8"/>
    <w:rsid w:val="00FE2692"/>
    <w:rsid w:val="00FE2CF9"/>
    <w:rsid w:val="00FE3076"/>
    <w:rsid w:val="00FE36BE"/>
    <w:rsid w:val="00FE4741"/>
    <w:rsid w:val="00FE4B5A"/>
    <w:rsid w:val="00FE4B9F"/>
    <w:rsid w:val="00FE4BB4"/>
    <w:rsid w:val="00FE4E6A"/>
    <w:rsid w:val="00FE53C8"/>
    <w:rsid w:val="00FE5758"/>
    <w:rsid w:val="00FE5BB2"/>
    <w:rsid w:val="00FE6C1A"/>
    <w:rsid w:val="00FE6CC3"/>
    <w:rsid w:val="00FE6F62"/>
    <w:rsid w:val="00FE73B3"/>
    <w:rsid w:val="00FF0092"/>
    <w:rsid w:val="00FF05A3"/>
    <w:rsid w:val="00FF281A"/>
    <w:rsid w:val="00FF2C15"/>
    <w:rsid w:val="00FF358E"/>
    <w:rsid w:val="00FF36D4"/>
    <w:rsid w:val="00FF447A"/>
    <w:rsid w:val="00FF52B4"/>
    <w:rsid w:val="00FF592D"/>
    <w:rsid w:val="00FF5A52"/>
    <w:rsid w:val="00FF5AC4"/>
    <w:rsid w:val="00FF6158"/>
    <w:rsid w:val="00FF63AC"/>
    <w:rsid w:val="00FF6411"/>
    <w:rsid w:val="00FF64FE"/>
    <w:rsid w:val="00FF748E"/>
    <w:rsid w:val="00FF74B7"/>
    <w:rsid w:val="00FF76C7"/>
    <w:rsid w:val="00FF7785"/>
    <w:rsid w:val="00FF7CB4"/>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3F021D0"/>
    <w:rsid w:val="043FDD52"/>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2A211C"/>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056B9"/>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195BF"/>
    <w:rsid w:val="0C5200B6"/>
    <w:rsid w:val="0C80E830"/>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4CC1F3"/>
    <w:rsid w:val="0F774BA2"/>
    <w:rsid w:val="0F84461C"/>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5D199D"/>
    <w:rsid w:val="168E6EB8"/>
    <w:rsid w:val="16A976E1"/>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CF99BBB"/>
    <w:rsid w:val="1D028DDD"/>
    <w:rsid w:val="1D05341D"/>
    <w:rsid w:val="1D18B865"/>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3E27CD"/>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09AB6A"/>
    <w:rsid w:val="26274C75"/>
    <w:rsid w:val="2655AAF5"/>
    <w:rsid w:val="269C567C"/>
    <w:rsid w:val="26C176BD"/>
    <w:rsid w:val="26C3E847"/>
    <w:rsid w:val="2704B21D"/>
    <w:rsid w:val="27074C6B"/>
    <w:rsid w:val="2719E8D0"/>
    <w:rsid w:val="271DA532"/>
    <w:rsid w:val="27202174"/>
    <w:rsid w:val="2725DEAF"/>
    <w:rsid w:val="27340A5F"/>
    <w:rsid w:val="2790EBC3"/>
    <w:rsid w:val="2796A6A8"/>
    <w:rsid w:val="27992059"/>
    <w:rsid w:val="27AF775D"/>
    <w:rsid w:val="27B35D9E"/>
    <w:rsid w:val="27C128E7"/>
    <w:rsid w:val="27D7AE83"/>
    <w:rsid w:val="2804D287"/>
    <w:rsid w:val="28132B46"/>
    <w:rsid w:val="28248FEF"/>
    <w:rsid w:val="2854B047"/>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47E7F1"/>
    <w:rsid w:val="2DB22A7E"/>
    <w:rsid w:val="2DD4059E"/>
    <w:rsid w:val="2DDC83DE"/>
    <w:rsid w:val="2E31757B"/>
    <w:rsid w:val="2E579BF0"/>
    <w:rsid w:val="2E5EA0BD"/>
    <w:rsid w:val="2E71B4D9"/>
    <w:rsid w:val="2E89A6BF"/>
    <w:rsid w:val="2E906F7F"/>
    <w:rsid w:val="2E9BDF8A"/>
    <w:rsid w:val="2EA7D2B1"/>
    <w:rsid w:val="2EB4AFFF"/>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411787"/>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72C3FC"/>
    <w:rsid w:val="34B1827A"/>
    <w:rsid w:val="34DBD1C8"/>
    <w:rsid w:val="34E6C626"/>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46351F"/>
    <w:rsid w:val="398D1463"/>
    <w:rsid w:val="39AF42EB"/>
    <w:rsid w:val="39BCF716"/>
    <w:rsid w:val="39C484E0"/>
    <w:rsid w:val="39FB0F78"/>
    <w:rsid w:val="39FB68A7"/>
    <w:rsid w:val="3A4DA47A"/>
    <w:rsid w:val="3A4FECAF"/>
    <w:rsid w:val="3A78AD4B"/>
    <w:rsid w:val="3A7D6A59"/>
    <w:rsid w:val="3AA8E5D8"/>
    <w:rsid w:val="3AE20580"/>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576A3"/>
    <w:rsid w:val="3FBB8B73"/>
    <w:rsid w:val="3FC35876"/>
    <w:rsid w:val="3FEED9B6"/>
    <w:rsid w:val="3FF3AAC7"/>
    <w:rsid w:val="3FF56359"/>
    <w:rsid w:val="4022C357"/>
    <w:rsid w:val="4048139F"/>
    <w:rsid w:val="40591625"/>
    <w:rsid w:val="40602C94"/>
    <w:rsid w:val="4068CF2F"/>
    <w:rsid w:val="40A05206"/>
    <w:rsid w:val="40A37486"/>
    <w:rsid w:val="40A9399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B88C2"/>
    <w:rsid w:val="45CCC72F"/>
    <w:rsid w:val="460649A9"/>
    <w:rsid w:val="462A4101"/>
    <w:rsid w:val="462F59C4"/>
    <w:rsid w:val="462F7851"/>
    <w:rsid w:val="463A3627"/>
    <w:rsid w:val="46460375"/>
    <w:rsid w:val="467D0B97"/>
    <w:rsid w:val="4695234A"/>
    <w:rsid w:val="46B4CC1F"/>
    <w:rsid w:val="46BCF51A"/>
    <w:rsid w:val="47266EB3"/>
    <w:rsid w:val="47380908"/>
    <w:rsid w:val="4771FF29"/>
    <w:rsid w:val="47736AF9"/>
    <w:rsid w:val="478E770E"/>
    <w:rsid w:val="47AD4CE0"/>
    <w:rsid w:val="47B4834B"/>
    <w:rsid w:val="47C08888"/>
    <w:rsid w:val="47DA1791"/>
    <w:rsid w:val="47DC8819"/>
    <w:rsid w:val="484B918C"/>
    <w:rsid w:val="484E4B8C"/>
    <w:rsid w:val="486B230E"/>
    <w:rsid w:val="486BA944"/>
    <w:rsid w:val="487F6373"/>
    <w:rsid w:val="48853BEA"/>
    <w:rsid w:val="488C44A6"/>
    <w:rsid w:val="48E1B4EC"/>
    <w:rsid w:val="493EC2A0"/>
    <w:rsid w:val="49438A28"/>
    <w:rsid w:val="49447131"/>
    <w:rsid w:val="494B58E7"/>
    <w:rsid w:val="498BFC9A"/>
    <w:rsid w:val="4A3E6176"/>
    <w:rsid w:val="4A436D6D"/>
    <w:rsid w:val="4A4873E8"/>
    <w:rsid w:val="4A4F2E52"/>
    <w:rsid w:val="4A69ED77"/>
    <w:rsid w:val="4A7F8A52"/>
    <w:rsid w:val="4A87ED30"/>
    <w:rsid w:val="4A9E5961"/>
    <w:rsid w:val="4AB09057"/>
    <w:rsid w:val="4ADA9301"/>
    <w:rsid w:val="4AE4C70A"/>
    <w:rsid w:val="4AECCE5E"/>
    <w:rsid w:val="4AF5844E"/>
    <w:rsid w:val="4B22C9E7"/>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74888E"/>
    <w:rsid w:val="4D8D2BF3"/>
    <w:rsid w:val="4DADD2B1"/>
    <w:rsid w:val="4DC85039"/>
    <w:rsid w:val="4DEF7ED4"/>
    <w:rsid w:val="4E0A9C72"/>
    <w:rsid w:val="4E1E5CBE"/>
    <w:rsid w:val="4E296F6B"/>
    <w:rsid w:val="4E52DCE4"/>
    <w:rsid w:val="4E593A0A"/>
    <w:rsid w:val="4E739269"/>
    <w:rsid w:val="4E8E2FED"/>
    <w:rsid w:val="4EB782BC"/>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A63503"/>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59EBCE"/>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76B7CF"/>
    <w:rsid w:val="5B8525E9"/>
    <w:rsid w:val="5B96BF8B"/>
    <w:rsid w:val="5BA5B9FD"/>
    <w:rsid w:val="5BD993BE"/>
    <w:rsid w:val="5C0FA2EC"/>
    <w:rsid w:val="5C4FF6CD"/>
    <w:rsid w:val="5C53AF87"/>
    <w:rsid w:val="5CCF0985"/>
    <w:rsid w:val="5CF96B2C"/>
    <w:rsid w:val="5D4303A1"/>
    <w:rsid w:val="5D5FC61B"/>
    <w:rsid w:val="5D65C493"/>
    <w:rsid w:val="5D81592E"/>
    <w:rsid w:val="5D82DCFC"/>
    <w:rsid w:val="5D879E70"/>
    <w:rsid w:val="5DC0F340"/>
    <w:rsid w:val="5DD44C2B"/>
    <w:rsid w:val="5DFD49F6"/>
    <w:rsid w:val="5E24DA3D"/>
    <w:rsid w:val="5E4F1E4D"/>
    <w:rsid w:val="5E8FBEFE"/>
    <w:rsid w:val="5EA5C084"/>
    <w:rsid w:val="5ECAB9AF"/>
    <w:rsid w:val="5F14832F"/>
    <w:rsid w:val="5F1F27F9"/>
    <w:rsid w:val="5F2875F2"/>
    <w:rsid w:val="5F4C7029"/>
    <w:rsid w:val="5F5B800B"/>
    <w:rsid w:val="5F60BE40"/>
    <w:rsid w:val="5F617DCA"/>
    <w:rsid w:val="5F9B7943"/>
    <w:rsid w:val="5FA4354D"/>
    <w:rsid w:val="5FA5C5AA"/>
    <w:rsid w:val="5FCF104C"/>
    <w:rsid w:val="5FF17BA1"/>
    <w:rsid w:val="5FFCB999"/>
    <w:rsid w:val="6014D5A1"/>
    <w:rsid w:val="601D060C"/>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4BEC21"/>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4E3DC24"/>
    <w:rsid w:val="6513F2BB"/>
    <w:rsid w:val="65260772"/>
    <w:rsid w:val="653037D5"/>
    <w:rsid w:val="654E3798"/>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08D248"/>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06F8FA"/>
    <w:rsid w:val="6C2DB8F5"/>
    <w:rsid w:val="6C3933E3"/>
    <w:rsid w:val="6C643375"/>
    <w:rsid w:val="6C6B6131"/>
    <w:rsid w:val="6C6E3B3C"/>
    <w:rsid w:val="6C9402FC"/>
    <w:rsid w:val="6CBC0AE0"/>
    <w:rsid w:val="6CC7D6BB"/>
    <w:rsid w:val="6CE32A18"/>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3E99BC"/>
    <w:rsid w:val="6F9453B6"/>
    <w:rsid w:val="6FAF9D88"/>
    <w:rsid w:val="6FD4F55E"/>
    <w:rsid w:val="6FF9B506"/>
    <w:rsid w:val="700BEE5D"/>
    <w:rsid w:val="702225AB"/>
    <w:rsid w:val="7055BA60"/>
    <w:rsid w:val="706DF304"/>
    <w:rsid w:val="707EF0B5"/>
    <w:rsid w:val="70946108"/>
    <w:rsid w:val="70BAEF71"/>
    <w:rsid w:val="70C50BC5"/>
    <w:rsid w:val="70DA6A1D"/>
    <w:rsid w:val="71572B17"/>
    <w:rsid w:val="7192F353"/>
    <w:rsid w:val="71AA7A1C"/>
    <w:rsid w:val="71B12805"/>
    <w:rsid w:val="71E3BA6C"/>
    <w:rsid w:val="723BE1F9"/>
    <w:rsid w:val="724F9552"/>
    <w:rsid w:val="7269DF0C"/>
    <w:rsid w:val="72763A7E"/>
    <w:rsid w:val="728BFF6B"/>
    <w:rsid w:val="72936CB9"/>
    <w:rsid w:val="72AB41E4"/>
    <w:rsid w:val="72E02D9F"/>
    <w:rsid w:val="7304A71E"/>
    <w:rsid w:val="733155C8"/>
    <w:rsid w:val="7332B255"/>
    <w:rsid w:val="733B49DF"/>
    <w:rsid w:val="734E5450"/>
    <w:rsid w:val="735309EA"/>
    <w:rsid w:val="7359C736"/>
    <w:rsid w:val="735C2E0C"/>
    <w:rsid w:val="739F68FE"/>
    <w:rsid w:val="73B50B9B"/>
    <w:rsid w:val="73C43D59"/>
    <w:rsid w:val="73E070DC"/>
    <w:rsid w:val="745BB454"/>
    <w:rsid w:val="745D858F"/>
    <w:rsid w:val="7486824E"/>
    <w:rsid w:val="74A9F016"/>
    <w:rsid w:val="74CB69D8"/>
    <w:rsid w:val="74D6ACEA"/>
    <w:rsid w:val="74ECA575"/>
    <w:rsid w:val="74F200D1"/>
    <w:rsid w:val="74F299C2"/>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41A3E8"/>
    <w:rsid w:val="775581ED"/>
    <w:rsid w:val="775CEEC3"/>
    <w:rsid w:val="775E3C04"/>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605D9"/>
    <w:rsid w:val="7A77B9F3"/>
    <w:rsid w:val="7A85EA09"/>
    <w:rsid w:val="7A9F2ED3"/>
    <w:rsid w:val="7ABA8CBF"/>
    <w:rsid w:val="7AE5D396"/>
    <w:rsid w:val="7B04AC9E"/>
    <w:rsid w:val="7B4314D4"/>
    <w:rsid w:val="7B7C6FF8"/>
    <w:rsid w:val="7B9E180E"/>
    <w:rsid w:val="7BA21E44"/>
    <w:rsid w:val="7BCE034A"/>
    <w:rsid w:val="7BDBE1DD"/>
    <w:rsid w:val="7BF5242E"/>
    <w:rsid w:val="7BFF867B"/>
    <w:rsid w:val="7C7733D2"/>
    <w:rsid w:val="7C90AC38"/>
    <w:rsid w:val="7C9527D2"/>
    <w:rsid w:val="7CF7B75A"/>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D4A5FD"/>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3400">
      <w:bodyDiv w:val="1"/>
      <w:marLeft w:val="0"/>
      <w:marRight w:val="0"/>
      <w:marTop w:val="0"/>
      <w:marBottom w:val="0"/>
      <w:divBdr>
        <w:top w:val="none" w:sz="0" w:space="0" w:color="auto"/>
        <w:left w:val="none" w:sz="0" w:space="0" w:color="auto"/>
        <w:bottom w:val="none" w:sz="0" w:space="0" w:color="auto"/>
        <w:right w:val="none" w:sz="0" w:space="0" w:color="auto"/>
      </w:divBdr>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24271991">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500585516">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74434869">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der@world-exchang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1" ma:contentTypeDescription="Create a new document." ma:contentTypeScope="" ma:versionID="1f4cb356b2e231f95e1e6e63d4bb4169">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72849046dfef66ad9d1626ed54471760"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77E0-1F8C-49E2-8D19-94D8B336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3.xml><?xml version="1.0" encoding="utf-8"?>
<ds:datastoreItem xmlns:ds="http://schemas.openxmlformats.org/officeDocument/2006/customXml" ds:itemID="{0E32443F-B9CF-4CBC-B482-3709067711B8}">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customXml/itemProps4.xml><?xml version="1.0" encoding="utf-8"?>
<ds:datastoreItem xmlns:ds="http://schemas.openxmlformats.org/officeDocument/2006/customXml" ds:itemID="{00B2C8EE-A02C-453D-922F-B1C408998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4648</Words>
  <Characters>26497</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2024-04-15T15:45:00Z</dcterms:created>
  <dcterms:modified xsi:type="dcterms:W3CDTF">2024-04-15T15:45:00Z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ies>
</file>